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RESPONSIBLE PERSON AND NOMINATED SUPERVISOR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spacing w:after="0"/>
        <w:rPr/>
      </w:pPr>
      <w:r w:rsidDel="00000000" w:rsidR="00000000" w:rsidRPr="00000000">
        <w:rPr>
          <w:rtl w:val="0"/>
        </w:rPr>
        <w:t>Lower Plenty Primary School OSHC ensures a suitable Responsible Person is present whenever children are in care. The Approved Provider appoints at least one Nominated Supervisor with written consent and oversees compliance with the National Law and Regulations. Supervisor Certificates are no longer required.</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spacing w:after="0"/>
        <w:rPr/>
      </w:pPr>
      <w:r w:rsidDel="00000000" w:rsidR="00000000" w:rsidRPr="00000000">
        <w:rPr>
          <w:rtl w:val="0"/>
        </w:rPr>
        <w:t>This policy applies to the Approved Provider, Nominated Supervisor, persons in day-to-day charge, staff and families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spacing w:after="0" w:before="0" w:line="240" w:lineRule="auto"/>
        <w:rPr/>
      </w:pPr>
      <w:r w:rsidDel="00000000" w:rsidR="00000000" w:rsidRPr="00000000">
        <w:rPr>
          <w:rtl w:val="0"/>
        </w:rPr>
        <w:t>A Responsible Person must be physically present whenever children are in care. This may be the Approved Provider (or a person with management or control), a Nominated Supervisor, or a person placed in day-to-day charge. Staff must know who is responsible each session.</w:t>
      </w:r>
    </w:p>
    <w:p w:rsidR="00000000" w:rsidDel="00000000" w:rsidP="00000000" w:rsidRDefault="00000000" w:rsidRPr="00000000" w14:paraId="0000000F">
      <w:pPr>
        <w:spacing w:after="0" w:before="0" w:line="240" w:lineRule="auto"/>
        <w:rPr/>
      </w:pPr>
      <w:r w:rsidDel="00000000" w:rsidR="00000000" w:rsidRPr="00000000">
        <w:rPr>
          <w:rtl w:val="0"/>
        </w:rPr>
        <w:t>The Approved Provider and Coordinator will ensure that:</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At least one Nominated Supervisor aged 18 or over is appointed with written consent. Before appointment, the Approved Provider checks knowledge of education and care, ability to supervise and manage, compliance history, prohibition status, and required child protection training and checks. Evidence and consent are kept on file.</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person placed in day-to-day charge is aged 18 or over, has given written consent, and is assessed by the Approved Provider or Nominated Supervisor for knowledge, management ability, compliance history and any prohibition. Records are retained. This role does not create additional legal duties under the National Law.</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Responsible Person is rostered and present for every session, including breaks and shift changes. The Nominated Supervisor oversees safe supervision, staffing, the educational program, child protection, health, medication and excursions under service policies.</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name and position of the Responsible Person are displayed while the service operates. The name of each Nominated Supervisor is displayed where clearly visible from the main entrance.</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Approved Provider retains appointment, suitability and consent records; notifies the regulatory authority of Nominated Supervisor appointments (generally 7 days before commencement, or within 14 days after if advance notice is not possible) and relevant changes; and reassesses suitability if concerns arise.</w:t>
      </w:r>
    </w:p>
    <w:p w:rsidR="00000000" w:rsidDel="00000000" w:rsidP="00000000" w:rsidRDefault="00000000" w:rsidRPr="00000000" w14:paraId="00000015">
      <w:pPr>
        <w:pStyle w:val="Heading2"/>
        <w:spacing w:after="0" w:before="0" w:line="240" w:lineRule="auto"/>
        <w:rPr/>
      </w:pPr>
      <w:r w:rsidDel="00000000" w:rsidR="00000000" w:rsidRPr="00000000">
        <w:rPr>
          <w:rtl w:val="0"/>
        </w:rPr>
        <w:t xml:space="preserve">FURTHER INFORMATION AND RESOURCES  </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(Victoria), sections 161–162, 165–170, 172–173</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regulations 117A–117C, 168, 173–174</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Areas 4 and 7</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ACECQA – Nominated Supervisors; Responsible Person Requirements for Approved Providers (information sheets)</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Department of Education – Early childhood regulatory guidance</w:t>
      </w:r>
    </w:p>
    <w:p w:rsidR="00000000" w:rsidDel="00000000" w:rsidP="00000000" w:rsidRDefault="00000000" w:rsidRPr="00000000" w14:paraId="0000001B">
      <w:pPr>
        <w:pStyle w:val="Heading2"/>
        <w:rPr/>
      </w:pPr>
      <w:r w:rsidDel="00000000" w:rsidR="00000000" w:rsidRPr="00000000">
        <w:rPr>
          <w:rtl w:val="0"/>
        </w:rPr>
        <w:t xml:space="preserve">REVIEW CYCLE AND EVALUATION</w:t>
      </w:r>
    </w:p>
    <w:p w:rsidR="00000000" w:rsidDel="00000000" w:rsidP="00000000" w:rsidRDefault="00000000" w:rsidRPr="00000000" w14:paraId="0000001C">
      <w:pPr>
        <w:rPr/>
      </w:pPr>
      <w:r w:rsidDel="00000000" w:rsidR="00000000" w:rsidRPr="00000000">
        <w:rPr>
          <w:rtl w:val="0"/>
        </w:rPr>
        <w:t>This policy was last updated in October 2026 and is scheduled for review in October 2028.</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Symbo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aeD6gb456mxginqU5sfH2sLfmw==">CgMxLjA4AHIhMWVNNVY1UndlN2NyLUgxN1hVSDBXRWFtdW9ZeGxPZWxV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2022-01-26T03:31:00Z</dcterms:created>
  <dc:creator>Daniel Frew</dc:creator>
</cp:coreProperties>
</file>