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GENERAL HEALTH AND WELLBEING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strives to provide a clean, healthy and inclusive environment where safe hygiene practices support the health and wellbeing of children and staff. The service will follow its medical conditions, medication, incident and infectious diseases procedures.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Enrolment procedures require families to advise the service of health conditions, medication, allergies, dietary requirements and other support needs, and provide current medical management plans where required.</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ensure relevant staff can access each child’s current medical management plan, risk minimisation plan and communication plan, while protecting the child’s privacy.</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ensure required first aid, anaphylaxis and asthma training is current and that at least one appropriately qualified person is immediately available whenever children are in care. Medication will be administered and recorded in accordance with the service’s medication policy and authorisations.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who are unwell must not attend work and must notify the Coordinator or Responsible Person as soon as practicable.</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who become unwell at work must notify the Coordinator or Responsible Person immediately so supervision and staffing arrangements can be maintained.</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and families must follow current public health advice and the service’s infectious diseases and exclusion procedures. Staff will support handwashing, cleaning, safe food handling and appropriate infection control practices.</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not work while affected by alcohol, drugs or medication in a way that compromises their ability to safely care for children.</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there are reasonable concerns about fitness for work, management may seek appropriate medical advice, consistent with privacy, employment and anti-discrimination obligations.</w:t>
      </w:r>
    </w:p>
    <w:p w:rsidR="00000000" w:rsidDel="00000000" w:rsidP="00000000" w:rsidRDefault="00000000" w:rsidRPr="00000000" w14:paraId="00000016">
      <w:pPr>
        <w:pStyle w:val="Heading2"/>
        <w:rPr/>
      </w:pPr>
      <w:r w:rsidDel="00000000" w:rsidR="00000000" w:rsidRPr="00000000">
        <w:rPr>
          <w:rtl w:val="0"/>
        </w:rPr>
        <w:t xml:space="preserve">FURTHER INFORMATION AND RESOURCES  </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and National Regulations: regulations 77, 85–96, 136, 161–162, 168 and 170–172.</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medical conditions guidance; Staying Healthy (NHMRC); Victorian Department of Health infectious disease exclusion guidance.</w:t>
      </w:r>
    </w:p>
    <w:p w:rsidR="00000000" w:rsidDel="00000000" w:rsidP="00000000" w:rsidRDefault="00000000" w:rsidRPr="00000000" w14:paraId="00000019">
      <w:pPr>
        <w:pStyle w:val="Heading2"/>
        <w:rPr/>
      </w:pPr>
      <w:r w:rsidDel="00000000" w:rsidR="00000000" w:rsidRPr="00000000">
        <w:rPr>
          <w:rtl w:val="0"/>
        </w:rPr>
        <w:t xml:space="preserve">REVIEW CYCLE AND EVALUATION</w:t>
      </w:r>
    </w:p>
    <w:p w:rsidR="00000000" w:rsidDel="00000000" w:rsidP="00000000" w:rsidRDefault="00000000" w:rsidRPr="00000000" w14:paraId="0000001A">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yktoOEl5kA1hmmolQHdoDZJ0/g==">CgMxLjA4AHIhMWVIWHVheGJNbUY5NTdRMzI3Vlp5eVRvRFRMUjQtYWxl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2022-01-25T04:19:00Z</dcterms:created>
  <dc:creator>Daniel Frew</dc:creator>
</cp:coreProperties>
</file>