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ANAPHYLAXIS MANAGEMENT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recognises that anaphylaxis is a severe, potentially life-threatening allergic reaction. Triggers may include foods, insect stings, latex and medications. The service works with families to minimise known risks and respond promptly to emergencies.</w:t>
      </w:r>
    </w:p>
    <w:p w:rsidR="00000000" w:rsidDel="00000000" w:rsidP="00000000" w:rsidRDefault="00000000" w:rsidRPr="00000000" w14:paraId="0000000B">
      <w:pPr>
        <w:rPr/>
      </w:pPr>
      <w:r w:rsidDel="00000000" w:rsidR="00000000" w:rsidRPr="00000000">
        <w:rPr>
          <w:rtl w:val="0"/>
        </w:rPr>
        <w:t>The service follows current ASCIA Action Plans, ACECQA requirements and the Victorian Department of Education anaphylaxis guidance where relevant.</w:t>
      </w:r>
    </w:p>
    <w:p w:rsidR="00000000" w:rsidDel="00000000" w:rsidP="00000000" w:rsidRDefault="00000000" w:rsidRPr="00000000" w14:paraId="0000000C">
      <w:pPr>
        <w:pStyle w:val="Heading2"/>
        <w:rPr/>
      </w:pPr>
      <w:r w:rsidDel="00000000" w:rsidR="00000000" w:rsidRPr="00000000">
        <w:rPr>
          <w:rtl w:val="0"/>
        </w:rPr>
        <w:t xml:space="preserve">SCOPE  </w:t>
      </w:r>
    </w:p>
    <w:p w:rsidR="00000000" w:rsidDel="00000000" w:rsidP="00000000" w:rsidRDefault="00000000" w:rsidRPr="00000000" w14:paraId="0000000D">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E">
      <w:pPr>
        <w:pStyle w:val="Heading2"/>
        <w:rPr/>
      </w:pPr>
      <w:r w:rsidDel="00000000" w:rsidR="00000000" w:rsidRPr="00000000">
        <w:rPr>
          <w:rtl w:val="0"/>
        </w:rPr>
        <w:t xml:space="preserve">IMPLEMENTATION  </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take reasonable steps to minimise exposure to identified allergens, including during food preparation, meals, activities and excursions. Staff will check individual risk minimisation arrangements before each session.</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each child diagnosed as at risk of anaphylaxis, the service will obtain a current medical management plan prepared by a registered medical practitioner, including an ASCIA Action Plan, and ensure the family provides prescribed medication.</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 consultation with the family, the service will prepare and implement an individual risk minimisation plan and a communication plan covering staff awareness, changes to the child’s needs and emergency procedures.</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child’s ASCIA Action Plan and medication location will be readily accessible to staff while protecting the child’s privacy. Staff will know where to find the plan and adrenaline device, including on excursions.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Responsible Person will brief all educators, including relief staff, about children at risk, their plans, triggers and emergency response. Families must notify the service promptly of changes to plans or medication.</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Prescribed adrenaline autoinjectors must be clearly labelled, in date, stored according to manufacturer instructions and immediately accessible (not locked away). Staff will check availability and expiry dates regularly and before excursions.</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Medication administration and records will follow the service’s Medical Conditions and Administration of Medication policies. In an anaphylaxis emergency, adrenaline may be administered without prior parent authorisation under regulation 94.</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Individual plans will be reviewed at least annually and whenever the child’s condition or treatment changes, following a reaction, or before relevant off-site activities. The service will review risk controls with the family.</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service will ensure staff with current approved first aid, anaphylaxis and emergency asthma training are in attendance and immediately available as required by regulation 136. All OSHC educators will receive practical emergency-response briefings and regular refreshers.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anaphylaxis is suspected, follow the child’s ASCIA Action Plan: administer adrenaline immediately, call 000, provide further care as directed and notify the family. Never leave the child alone. Record and report the incident and notify the regulatory authority where required.</w:t>
      </w:r>
    </w:p>
    <w:p w:rsidR="00000000" w:rsidDel="00000000" w:rsidP="00000000" w:rsidRDefault="00000000" w:rsidRPr="00000000" w14:paraId="00000019">
      <w:pPr>
        <w:pStyle w:val="Heading2"/>
        <w:rPr/>
      </w:pPr>
      <w:r w:rsidDel="00000000" w:rsidR="00000000" w:rsidRPr="00000000">
        <w:rPr>
          <w:rtl w:val="0"/>
        </w:rPr>
        <w:t xml:space="preserve">FURTHER INFORMATION AND RESOURCES  </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85–87, 90–95, 136, 161–162, 168 and 170–172; ACECQA Guide to the National Quality Framework</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ASCIA Action Plans; Victorian Department of Education Anaphylaxis Guidelines; LPPS OSHC Medical Conditions and Administration of Medication policies</w:t>
      </w:r>
    </w:p>
    <w:p w:rsidR="00000000" w:rsidDel="00000000" w:rsidP="00000000" w:rsidRDefault="00000000" w:rsidRPr="00000000" w14:paraId="0000001C">
      <w:pPr>
        <w:pStyle w:val="Heading2"/>
        <w:rPr/>
      </w:pPr>
      <w:r w:rsidDel="00000000" w:rsidR="00000000" w:rsidRPr="00000000">
        <w:rPr>
          <w:rtl w:val="0"/>
        </w:rPr>
        <w:t xml:space="preserve">REVIEW CYCLE AND EVALUATION</w:t>
      </w:r>
    </w:p>
    <w:p w:rsidR="00000000" w:rsidDel="00000000" w:rsidP="00000000" w:rsidRDefault="00000000" w:rsidRPr="00000000" w14:paraId="0000001D">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f45QniSlXPdVK1DpG2J8ilGFGw==">CgMxLjA4AHIhMWNfbno3bUxUVFp2c1BXdEdlNndUVFBraFN1UkpVTzgx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2022-01-25T03:32:00Z</dcterms:created>
  <dc:creator>Daniel Frew</dc:creator>
</cp:coreProperties>
</file>