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pPr>
        <w:pStyle w:val="Heading1"/>
      </w:pPr>
      <w:r>
        <w:t>EXCURSIONS AND REGULAR OUTINGS POLICY</w:t>
      </w:r>
    </w:p>
    <w:p>
      <w:pPr>
        <w:pStyle w:val="Heading2"/>
      </w:pPr>
      <w:r>
        <w:t>PURPOSE</w:t>
      </w:r>
    </w:p>
    <w:p>
      <w:pPr/>
      <w:r>
        <w:t>Lower Plenty Primary School OSHC provides safe, inclusive excursions and regular outings that enrich children’s learning and connection with the community. Children’s safety, wellbeing and supervision are our first priorities.</w:t>
      </w:r>
    </w:p>
    <w:p>
      <w:pPr>
        <w:pStyle w:val="Heading2"/>
      </w:pPr>
      <w:r>
        <w:t>SCOPE</w:t>
      </w:r>
    </w:p>
    <w:p>
      <w:pPr/>
      <w:r>
        <w:t>This policy applies to the Approved Provider (School Council), Nominated Supervisor, Coordinator, educators, volunteers, families and children participating in OSHC excursions and regular outings.</w:t>
      </w:r>
    </w:p>
    <w:p>
      <w:pPr>
        <w:pStyle w:val="Heading2"/>
      </w:pPr>
      <w:r>
        <w:t>IMPLEMENTATION</w:t>
      </w:r>
    </w:p>
    <w:p>
      <w:pPr/>
      <w:r>
        <w:t>The Approved Provider and Nominated Supervisor will ensure that:</w:t>
      </w:r>
    </w:p>
    <w:p>
      <w:pPr>
        <w:numPr>
          <w:ilvl w:val="0"/>
          <w:numId w:val="1"/>
        </w:numPr>
        <w:ind w:left="720" w:hanging="360"/>
      </w:pPr>
      <w:r>
        <w:t>Excursions are planned as part of the educational program, with consideration of children’s interests, accessibility, additional needs, medical conditions, cost and suitable alternatives for children not attending.</w:t>
      </w:r>
    </w:p>
    <w:p>
      <w:pPr>
        <w:numPr>
          <w:ilvl w:val="0"/>
          <w:numId w:val="1"/>
        </w:numPr>
        <w:ind w:left="720" w:hanging="360"/>
      </w:pPr>
      <w:r>
        <w:t>Before seeking authorisation, a written risk assessment is completed and approved for each excursion. For a regular outing, an assessment completed within the previous 12 months may be used only while relevant circumstances remain substantially the same; reassess whenever circumstances change.</w:t>
      </w:r>
    </w:p>
    <w:p>
      <w:pPr>
        <w:numPr>
          <w:ilvl w:val="0"/>
          <w:numId w:val="1"/>
        </w:numPr>
        <w:ind w:left="720" w:hanging="360"/>
      </w:pPr>
      <w:r>
        <w:t>The risk assessment identifies and manages risks associated with the route and destination; water hazards and water-based activities; transport, road crossings and pedestrian safety; activities; duration; weather; children’s needs; the number of children and adults; supervision and educator-to-child ratios; and access to toilets, drinking water, first aid and emergency assistance.</w:t>
      </w:r>
    </w:p>
    <w:p>
      <w:pPr>
        <w:numPr>
          <w:ilvl w:val="0"/>
          <w:numId w:val="1"/>
        </w:numPr>
        <w:ind w:left="720" w:hanging="360"/>
      </w:pPr>
      <w:r>
        <w:t>Written authorisation is obtained before a child leaves the service. It must be signed by a parent or an authorised person recorded in the child’s enrolment record and include all information required by Regulation 102: child’s name, reason, destination, date (or frequency of regular outings), activities, time away, transport and restraints where relevant, anticipated child and adult numbers, educator-to-child ratio, and confirmation that the risk assessment is available.</w:t>
      </w:r>
    </w:p>
    <w:p>
      <w:pPr>
        <w:numPr>
          <w:ilvl w:val="0"/>
          <w:numId w:val="1"/>
        </w:numPr>
        <w:ind w:left="720" w:hanging="360"/>
      </w:pPr>
      <w:r>
        <w:t>Authorisation for a regular outing is renewed at least every 12 months and earlier if relevant arrangements change. Children without valid authorisation do not attend; safe supervision or alternative care arrangements are made.</w:t>
      </w:r>
    </w:p>
    <w:p>
      <w:pPr>
        <w:numPr>
          <w:ilvl w:val="0"/>
          <w:numId w:val="1"/>
        </w:numPr>
        <w:ind w:left="720" w:hanging="360"/>
      </w:pPr>
      <w:r>
        <w:t>Adequate supervision and required educator-to-child ratios are maintained at all times. The risk assessment determines whether additional educators are needed. Volunteers and accompanying adults are appropriately checked and supervised and are not relied upon to meet educator ratios unless legally eligible.</w:t>
      </w:r>
    </w:p>
    <w:p>
      <w:pPr>
        <w:numPr>
          <w:ilvl w:val="0"/>
          <w:numId w:val="1"/>
        </w:numPr>
        <w:ind w:left="720" w:hanging="360"/>
      </w:pPr>
      <w:r>
        <w:t>Before departure, educators check permissions, attendance, emergency contacts, individual medical plans and required medication. They take a portable first aid kit, charged service phone, emergency contact information and necessary supplies. A responsible educator is assigned to each group.</w:t>
      </w:r>
    </w:p>
    <w:p>
      <w:pPr>
        <w:numPr>
          <w:ilvl w:val="0"/>
          <w:numId w:val="1"/>
        </w:numPr>
        <w:ind w:left="720" w:hanging="360"/>
      </w:pPr>
      <w:r>
        <w:t>Children are counted and names checked before departure, when boarding or leaving transport, at arrival, throughout the outing, before returning and on return. Staff promptly follow the missing-child and emergency procedures if a child cannot be accounted for.</w:t>
      </w:r>
    </w:p>
    <w:p>
      <w:pPr>
        <w:numPr>
          <w:ilvl w:val="0"/>
          <w:numId w:val="1"/>
        </w:numPr>
        <w:ind w:left="720" w:hanging="360"/>
      </w:pPr>
      <w:r>
        <w:t>Children are supported to understand safety expectations. Educators follow the approved route and activities, manage identified risks, and contact the Coordinator immediately if conditions change or an incident occurs. Emergency services and families are contacted as required.</w:t>
      </w:r>
    </w:p>
    <w:p>
      <w:pPr>
        <w:numPr>
          <w:ilvl w:val="0"/>
          <w:numId w:val="1"/>
        </w:numPr>
        <w:ind w:left="720" w:hanging="360"/>
      </w:pPr>
      <w:r>
        <w:t>Accurate records of the risk assessment, written authorisations, attendance, staffing, incidents and relevant communications are retained securely. Families are informed of the excursion arrangements and any items children need to bring.</w:t>
      </w:r>
    </w:p>
    <w:p>
      <w:pPr>
        <w:numPr>
          <w:ilvl w:val="0"/>
          <w:numId w:val="1"/>
        </w:numPr>
        <w:ind w:left="720" w:hanging="360"/>
      </w:pPr>
      <w:r>
        <w:t>If OSHC transports children or arranges transportation, the service also follows its Transitions and Transport Policy and applicable transportation risk assessment, authorisation and safety requirements.</w:t>
      </w:r>
    </w:p>
    <w:p>
      <w:pPr>
        <w:pStyle w:val="Heading2"/>
      </w:pPr>
      <w:r>
        <w:t>FURTHER INFORMATION AND RESOURCES</w:t>
      </w:r>
    </w:p>
    <w:p>
      <w:pPr>
        <w:numPr>
          <w:ilvl w:val="0"/>
          <w:numId w:val="1"/>
        </w:numPr>
        <w:ind w:left="720" w:hanging="360"/>
      </w:pPr>
      <w:r>
        <w:t>Education and Care Services National Law (Victoria), sections 165 and 167</w:t>
      </w:r>
    </w:p>
    <w:p>
      <w:pPr>
        <w:numPr>
          <w:ilvl w:val="0"/>
          <w:numId w:val="1"/>
        </w:numPr>
        <w:ind w:left="720" w:hanging="360"/>
      </w:pPr>
      <w:r>
        <w:t>Education and Care Services National Regulations, regulations 89, 99–102, 122–123, 161, 168(2)(g), 170 and applicable transportation provisions</w:t>
      </w:r>
    </w:p>
    <w:p>
      <w:pPr>
        <w:numPr>
          <w:ilvl w:val="0"/>
          <w:numId w:val="1"/>
        </w:numPr>
        <w:ind w:left="720" w:hanging="360"/>
      </w:pPr>
      <w:r>
        <w:t>National Quality Standard, Quality Areas 1 and 2</w:t>
      </w:r>
    </w:p>
    <w:p>
      <w:pPr>
        <w:numPr>
          <w:ilvl w:val="0"/>
          <w:numId w:val="1"/>
        </w:numPr>
        <w:ind w:left="720" w:hanging="360"/>
      </w:pPr>
      <w:r>
        <w:t>ACECQA – Excursions Policy and Procedure Guidelines; Guide to the NQF</w:t>
      </w:r>
    </w:p>
    <w:p>
      <w:pPr>
        <w:numPr>
          <w:ilvl w:val="0"/>
          <w:numId w:val="1"/>
        </w:numPr>
        <w:ind w:left="720" w:hanging="360"/>
      </w:pPr>
      <w:r>
        <w:t>LPPS OSHC – Arrivals and Departures, Medical Conditions, Emergency Procedures and Transitions and Transport policies</w:t>
      </w:r>
    </w:p>
    <w:p>
      <w:pPr>
        <w:pStyle w:val="Heading2"/>
      </w:pPr>
      <w:r>
        <w:t>REVIEW CYCLE AND EVALUATION</w:t>
      </w:r>
    </w:p>
    <w:p>
      <w:pPr/>
      <w:r>
        <w:t>This policy was developed in October 2026 and is scheduled for review in October 2028, or earlier if requirements change.</w:t>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ymbo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aeD6gb456mxginqU5sfH2sLfmw==">CgMxLjA4AHIhMWVNNVY1UndlN2NyLUgxN1hVSDBXRWFtdW9ZeGxPZWxV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2022-01-26T03:31:00Z</dcterms:created>
  <dc:creator>Daniel Frew</dc:creator>
</cp:coreProperties>
</file>