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LOWER PLENTY PRIMARY SCHOOL OSH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-202183</wp:posOffset>
            </wp:positionV>
            <wp:extent cx="2046859" cy="1416050"/>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46859" cy="1416050"/>
                    </a:xfrm>
                    <a:prstGeom prst="rect"/>
                    <a:ln/>
                  </pic:spPr>
                </pic:pic>
              </a:graphicData>
            </a:graphic>
          </wp:anchor>
        </w:drawing>
      </w:r>
    </w:p>
    <w:p w:rsidR="00000000" w:rsidDel="00000000" w:rsidP="00000000" w:rsidRDefault="00000000" w:rsidRPr="00000000" w14:paraId="00000002">
      <w:pPr>
        <w:pStyle w:val="Subtitle"/>
        <w:rPr/>
      </w:pPr>
      <w:r w:rsidDel="00000000" w:rsidR="00000000" w:rsidRPr="00000000">
        <w:rPr>
          <w:rtl w:val="0"/>
        </w:rPr>
        <w:t xml:space="preserve">126 Main Road, Lower Plenty 3093</w:t>
      </w:r>
    </w:p>
    <w:p w:rsidR="00000000" w:rsidDel="00000000" w:rsidP="00000000" w:rsidRDefault="00000000" w:rsidRPr="00000000" w14:paraId="00000003">
      <w:pPr>
        <w:pStyle w:val="Subtitle"/>
        <w:rPr/>
      </w:pPr>
      <w:r w:rsidDel="00000000" w:rsidR="00000000" w:rsidRPr="00000000">
        <w:rPr>
          <w:rtl w:val="0"/>
        </w:rPr>
        <w:t xml:space="preserve">Phone: 9435 2585 Fax: 9432 0844</w:t>
      </w:r>
    </w:p>
    <w:p w:rsidR="00000000" w:rsidDel="00000000" w:rsidP="00000000" w:rsidRDefault="00000000" w:rsidRPr="00000000" w14:paraId="00000004">
      <w:pPr>
        <w:pStyle w:val="Subtitle"/>
        <w:rPr/>
      </w:pPr>
      <w:r w:rsidDel="00000000" w:rsidR="00000000" w:rsidRPr="00000000">
        <w:rPr>
          <w:rtl w:val="0"/>
        </w:rPr>
        <w:t xml:space="preserve">Email: lower.plenty.ps@edumail.vic.gov.au</w:t>
      </w:r>
    </w:p>
    <w:p w:rsidR="00000000" w:rsidDel="00000000" w:rsidP="00000000" w:rsidRDefault="00000000" w:rsidRPr="00000000" w14:paraId="00000005">
      <w:pPr>
        <w:pStyle w:val="Subtitle"/>
        <w:rPr/>
      </w:pPr>
      <w:r w:rsidDel="00000000" w:rsidR="00000000" w:rsidRPr="00000000">
        <w:rPr>
          <w:rtl w:val="0"/>
        </w:rPr>
        <w:t xml:space="preserve">Website: www.lowerplentyps.vic.edu.au</w:t>
      </w:r>
    </w:p>
    <w:p w:rsidR="00000000" w:rsidDel="00000000" w:rsidP="00000000" w:rsidRDefault="00000000" w:rsidRPr="00000000" w14:paraId="00000006">
      <w:pPr>
        <w:pStyle w:val="Subtitle"/>
        <w:rPr/>
      </w:pPr>
      <w:r w:rsidDel="00000000" w:rsidR="00000000" w:rsidRPr="00000000">
        <w:rPr>
          <w:rtl w:val="0"/>
        </w:rPr>
        <w:t xml:space="preserve">CARE ● HONESTY ● ACHIEVEMENT ● RESPECT ● RESPONSIBILITY ● FUN</w:t>
      </w:r>
    </w:p>
    <w:p w:rsidR="00000000" w:rsidDel="00000000" w:rsidP="00000000" w:rsidRDefault="00000000" w:rsidRPr="00000000" w14:paraId="00000007">
      <w:pPr>
        <w:rPr/>
      </w:pPr>
      <w:r w:rsidDel="00000000" w:rsidR="00000000" w:rsidRPr="00000000">
        <w:rPr>
          <w:rtl w:val="0"/>
        </w:rPr>
      </w:r>
    </w:p>
    <w:p>
      <w:pPr>
        <w:pStyle w:val="Heading1"/>
      </w:pPr>
      <w:r>
        <w:t>TRANSITIONS AND TRANSPORT POLICY</w:t>
      </w:r>
    </w:p>
    <w:p>
      <w:pPr>
        <w:pStyle w:val="Heading2"/>
      </w:pPr>
      <w:r>
        <w:t>PURPOSE</w:t>
      </w:r>
    </w:p>
    <w:p>
      <w:pPr/>
      <w:r>
        <w:t>Lower Plenty Primary School OSHC is committed to ensuring children are safe, accounted for and appropriately supervised when moving between school, OSHC, activities, excursions and transport. Clear arrangements support the safe transfer of responsibility for each child.</w:t>
      </w:r>
    </w:p>
    <w:p>
      <w:pPr>
        <w:pStyle w:val="Heading2"/>
      </w:pPr>
      <w:r>
        <w:t>SCOPE</w:t>
      </w:r>
    </w:p>
    <w:p>
      <w:pPr/>
      <w:r>
        <w:t>This policy applies to children, families, OSHC staff, management, volunteers and other people involved in transitions or transport arranged by the service, including Vacation Care.</w:t>
      </w:r>
    </w:p>
    <w:p>
      <w:pPr>
        <w:pStyle w:val="Heading2"/>
      </w:pPr>
      <w:r>
        <w:t>IMPLEMENTATION</w:t>
      </w:r>
    </w:p>
    <w:p>
      <w:pPr/>
      <w:r>
        <w:t>The OSHC Coordinator or Responsible Person will:</w:t>
      </w:r>
    </w:p>
    <w:p>
      <w:pPr>
        <w:ind w:left="260" w:hanging="200"/>
      </w:pPr>
      <w:r>
        <w:t>•  Maintain documented, service-specific arrangements with the school for collection, handover, attendance and supervision, including children requiring additional support.</w:t>
      </w:r>
    </w:p>
    <w:p>
      <w:pPr>
        <w:ind w:left="260" w:hanging="200"/>
      </w:pPr>
      <w:r>
        <w:t>•  Complete and regularly review a safe-arrival risk assessment covering collection points, routes, school activities, supervision, communication and procedures for children who do not arrive as expected. Review whenever arrangements change.</w:t>
      </w:r>
    </w:p>
    <w:p>
      <w:pPr>
        <w:ind w:left="260" w:hanging="200"/>
      </w:pPr>
      <w:r>
        <w:t>•  Ensure staff understand their assigned roles, authorised routes, attendance lists, handover points and emergency procedures before each transition.</w:t>
      </w:r>
    </w:p>
    <w:p>
      <w:pPr>
        <w:ind w:left="260" w:hanging="200"/>
      </w:pPr>
      <w:r>
        <w:t>•  Ensure appropriate staffing and active supervision during all movements, including between rooms, playgrounds, toilets and extracurricular activities.</w:t>
      </w:r>
    </w:p>
    <w:p>
      <w:pPr>
        <w:ind w:left="260" w:hanging="200"/>
      </w:pPr>
      <w:r>
        <w:t>•  Confirm any transport or excursion has a suitable risk assessment, required family authorisation and an appropriate supervision plan before it proceeds.</w:t>
      </w:r>
    </w:p>
    <w:p>
      <w:pPr/>
      <w:r>
        <w:t>Staff will:</w:t>
      </w:r>
    </w:p>
    <w:p>
      <w:pPr>
        <w:ind w:left="260" w:hanging="200"/>
      </w:pPr>
      <w:r>
        <w:t>•  Check booked children against the attendance list on arrival and record each child’s attendance promptly. Never assume a child is absent because they have not arrived.</w:t>
      </w:r>
    </w:p>
    <w:p>
      <w:pPr>
        <w:ind w:left="260" w:hanging="200"/>
      </w:pPr>
      <w:r>
        <w:t>•  If a booked child does not arrive, immediately check with the school and relevant staff, contact the family and follow the Absent and Missing Children procedure. Escalate without delay if the child cannot be located.</w:t>
      </w:r>
    </w:p>
    <w:p>
      <w:pPr>
        <w:ind w:left="260" w:hanging="200"/>
      </w:pPr>
      <w:r>
        <w:t>•  Keep children together and within sight or effective supervision during transitions; position staff at entrances, exits and other identified risk points, and count and reconcile children at each handover.</w:t>
      </w:r>
    </w:p>
    <w:p>
      <w:pPr>
        <w:ind w:left="260" w:hanging="200"/>
      </w:pPr>
      <w:r>
        <w:t>•  Support individual needs, including disability, age, mobility, health and behaviour support requirements, as identified in the risk assessment.</w:t>
      </w:r>
    </w:p>
    <w:p>
      <w:pPr>
        <w:ind w:left="260" w:hanging="200"/>
      </w:pPr>
      <w:r>
        <w:t>•  Use the assessed safest route when walking off site, supervise road crossings closely and carry required attendance, emergency contact and first aid information.</w:t>
      </w:r>
    </w:p>
    <w:p>
      <w:pPr/>
      <w:r>
        <w:t>Transport and excursions:</w:t>
      </w:r>
    </w:p>
    <w:p>
      <w:pPr>
        <w:ind w:left="260" w:hanging="200"/>
      </w:pPr>
      <w:r>
        <w:t>•  Transport arranged by OSHC must be approved and risk assessed in accordance with the National Regulations, including regulations 102B–102F where applicable. Families must provide the required written authorisation before children are transported.</w:t>
      </w:r>
    </w:p>
    <w:p>
      <w:pPr>
        <w:ind w:left="260" w:hanging="200"/>
      </w:pPr>
      <w:r>
        <w:t>•  Check driver licensing, vehicle suitability, registration, seatbelts or restraints, pick-up and drop-off arrangements, emergency communication and supervision before departure.</w:t>
      </w:r>
    </w:p>
    <w:p>
      <w:pPr>
        <w:ind w:left="260" w:hanging="200"/>
      </w:pPr>
      <w:r>
        <w:t>•  Record children boarding and leaving each vehicle, undertake physical checks of the vehicle after disembarking, and ensure no child is left unattended in or near a vehicle.</w:t>
      </w:r>
    </w:p>
    <w:p>
      <w:pPr>
        <w:ind w:left="260" w:hanging="200"/>
      </w:pPr>
      <w:r>
        <w:t>•  Maintain headcounts and direct supervision throughout boarding, travel, alighting and arrival. Follow the excursion and emergency procedures if plans change or a vehicle breaks down.</w:t>
      </w:r>
    </w:p>
    <w:p>
      <w:pPr>
        <w:ind w:left="260" w:hanging="200"/>
      </w:pPr>
      <w:r>
        <w:t>•  Public transport must be specifically risk assessed, including platforms, crowds, road crossings and boarding or alighting.</w:t>
      </w:r>
    </w:p>
    <w:p>
      <w:pPr/>
      <w:r>
        <w:t>Families are asked to advise OSHC promptly of absences, changes to bookings, extracurricular activities and collection arrangements. Children will only be released in accordance with the Arrivals and Departures of Children Policy. Any incident or concern must be documented and reported under the service’s incident and child safety procedures.</w:t>
      </w:r>
    </w:p>
    <w:p>
      <w:pPr>
        <w:pStyle w:val="Heading2"/>
      </w:pPr>
      <w:r>
        <w:t>FURTHER INFORMATION AND RESOURCES</w:t>
      </w:r>
    </w:p>
    <w:p>
      <w:pPr/>
      <w:r>
        <w:t>Education and Care Services National Law Act 2010 (Vic), sections 165 and 167</w:t>
      </w:r>
    </w:p>
    <w:p>
      <w:pPr/>
      <w:r>
        <w:t>Education and Care Services National Regulations, regulations 99–102, 102AAB–102AAC and 102B–102F (as applicable), 168 and 170–172</w:t>
      </w:r>
    </w:p>
    <w:p>
      <w:pPr/>
      <w:r>
        <w:t>National Quality Standard: Quality Areas 2 and 6</w:t>
      </w:r>
    </w:p>
    <w:p>
      <w:pPr/>
      <w:r>
        <w:t>ACECQA – Guide to the National Quality Framework and safe arrival / transportation guidance</w:t>
      </w:r>
    </w:p>
    <w:p>
      <w:pPr/>
      <w:r>
        <w:t>LPPS OSHC Arrivals and Departures, Excursions, Absent and Missing Children, Child Safe Environment and Incident Management policies</w:t>
      </w:r>
    </w:p>
    <w:p>
      <w:pPr>
        <w:pStyle w:val="Heading2"/>
      </w:pPr>
      <w:r>
        <w:t>REVIEW CYCLE AND EVALUATION</w:t>
      </w:r>
    </w:p>
    <w:p>
      <w:pPr/>
      <w:r>
        <w:t>This policy was reviewed in October 2026 and is scheduled for review in October 2027, or earlier if requirements or service arrangements change.</w:t>
      </w:r>
    </w:p>
    <w:sectPr>
      <w:pgSz w:h="16820" w:w="11900" w:orient="portrait"/>
      <w:pgMar w:bottom="1010" w:top="338" w:left="850" w:right="79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AU"/>
      </w:rPr>
    </w:rPrDefault>
    <w:pPrDefault>
      <w:pPr>
        <w:widowControl w:val="0"/>
        <w:spacing w:before="181"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jc w:val="center"/>
    </w:pPr>
    <w:rPr>
      <w:b w:val="1"/>
      <w:color w:val="1f497d"/>
      <w:sz w:val="43"/>
      <w:szCs w:val="43"/>
    </w:rPr>
  </w:style>
  <w:style w:type="paragraph" w:styleId="Heading2">
    <w:name w:val="heading 2"/>
    <w:basedOn w:val="Normal"/>
    <w:next w:val="Normal"/>
    <w:pPr>
      <w:keepNext w:val="1"/>
      <w:keepLines w:val="1"/>
      <w:spacing w:after="80" w:before="360" w:lineRule="auto"/>
    </w:pPr>
    <w:rPr>
      <w:b w:val="1"/>
      <w:color w:val="1f497d"/>
    </w:rPr>
  </w:style>
  <w:style w:type="paragraph" w:styleId="Heading3">
    <w:name w:val="heading 3"/>
    <w:basedOn w:val="Normal"/>
    <w:next w:val="Normal"/>
    <w:pPr/>
    <w:rPr>
      <w:color w:val="1f497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rPr>
      <w:b w:val="1"/>
      <w:color w:val="1f497d"/>
      <w:sz w:val="40"/>
      <w:szCs w:val="40"/>
    </w:rPr>
  </w:style>
  <w:style w:type="paragraph" w:styleId="Normal" w:default="1">
    <w:name w:val="Normal"/>
    <w:qFormat w:val="1"/>
    <w:rsid w:val="002D64D2"/>
    <w:pPr>
      <w:widowControl w:val="0"/>
      <w:pBdr>
        <w:top w:space="0" w:sz="0" w:val="nil"/>
        <w:left w:space="0" w:sz="0" w:val="nil"/>
        <w:bottom w:space="0" w:sz="0" w:val="nil"/>
        <w:right w:space="0" w:sz="0" w:val="nil"/>
        <w:between w:space="0" w:sz="0" w:val="nil"/>
      </w:pBdr>
      <w:spacing w:before="181" w:line="240" w:lineRule="auto"/>
    </w:pPr>
    <w:rPr>
      <w:rFonts w:asciiTheme="majorHAnsi" w:cstheme="majorHAnsi" w:hAnsiTheme="majorHAnsi"/>
      <w:sz w:val="20"/>
      <w:szCs w:val="20"/>
    </w:rPr>
  </w:style>
  <w:style w:type="paragraph" w:styleId="Heading1">
    <w:name w:val="heading 1"/>
    <w:basedOn w:val="Normal"/>
    <w:next w:val="Normal"/>
    <w:uiPriority w:val="9"/>
    <w:qFormat w:val="1"/>
    <w:rsid w:val="00646965"/>
    <w:pPr>
      <w:keepNext w:val="1"/>
      <w:keepLines w:val="1"/>
      <w:spacing w:after="120" w:before="480"/>
      <w:jc w:val="center"/>
      <w:outlineLvl w:val="0"/>
    </w:pPr>
    <w:rPr>
      <w:b w:val="1"/>
      <w:color w:val="1f497d" w:themeColor="text2"/>
      <w:sz w:val="43"/>
      <w:szCs w:val="43"/>
    </w:rPr>
  </w:style>
  <w:style w:type="paragraph" w:styleId="Heading2">
    <w:name w:val="heading 2"/>
    <w:basedOn w:val="Normal"/>
    <w:next w:val="Normal"/>
    <w:uiPriority w:val="9"/>
    <w:unhideWhenUsed w:val="1"/>
    <w:qFormat w:val="1"/>
    <w:rsid w:val="00646965"/>
    <w:pPr>
      <w:keepNext w:val="1"/>
      <w:keepLines w:val="1"/>
      <w:spacing w:after="80" w:before="360"/>
      <w:outlineLvl w:val="1"/>
    </w:pPr>
    <w:rPr>
      <w:b w:val="1"/>
      <w:color w:val="1f497d" w:themeColor="text2"/>
    </w:rPr>
  </w:style>
  <w:style w:type="paragraph" w:styleId="Heading3">
    <w:name w:val="heading 3"/>
    <w:basedOn w:val="Normal"/>
    <w:next w:val="Normal"/>
    <w:uiPriority w:val="9"/>
    <w:unhideWhenUsed w:val="1"/>
    <w:qFormat w:val="1"/>
    <w:rsid w:val="00646965"/>
    <w:pPr>
      <w:outlineLvl w:val="2"/>
    </w:pPr>
    <w:rPr>
      <w:color w:val="1f497d" w:themeColor="text2"/>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646965"/>
    <w:rPr>
      <w:b w:val="1"/>
      <w:bCs w:val="1"/>
      <w:color w:val="1f497d" w:themeColor="text2"/>
      <w:sz w:val="40"/>
      <w:szCs w:val="40"/>
    </w:rPr>
  </w:style>
  <w:style w:type="paragraph" w:styleId="Subtitle">
    <w:name w:val="Subtitle"/>
    <w:basedOn w:val="Normal"/>
    <w:next w:val="Normal"/>
    <w:uiPriority w:val="11"/>
    <w:qFormat w:val="1"/>
    <w:rsid w:val="00646965"/>
    <w:pPr>
      <w:spacing w:before="0"/>
      <w:jc w:val="center"/>
    </w:pPr>
    <w:rPr>
      <w:color w:val="1f497d" w:themeColor="text2"/>
      <w:sz w:val="22"/>
      <w:szCs w:val="22"/>
    </w:rPr>
  </w:style>
  <w:style w:type="paragraph" w:styleId="ListParagraph">
    <w:name w:val="List Paragraph"/>
    <w:basedOn w:val="Normal"/>
    <w:uiPriority w:val="34"/>
    <w:qFormat w:val="1"/>
    <w:rsid w:val="00236053"/>
    <w:pPr>
      <w:ind w:left="720"/>
      <w:contextualSpacing w:val="1"/>
    </w:pPr>
  </w:style>
  <w:style w:type="character" w:styleId="IntenseEmphasis">
    <w:name w:val="Intense Emphasis"/>
    <w:basedOn w:val="DefaultParagraphFont"/>
    <w:uiPriority w:val="21"/>
    <w:qFormat w:val="1"/>
    <w:rsid w:val="00236053"/>
    <w:rPr>
      <w:i w:val="1"/>
      <w:iCs w:val="1"/>
      <w:color w:val="4f81bd" w:themeColor="accent1"/>
    </w:rPr>
  </w:style>
  <w:style w:type="character" w:styleId="Hyperlink">
    <w:name w:val="Hyperlink"/>
    <w:basedOn w:val="DefaultParagraphFont"/>
    <w:uiPriority w:val="99"/>
    <w:unhideWhenUsed w:val="1"/>
    <w:rsid w:val="00443673"/>
    <w:rPr>
      <w:color w:val="0000ff" w:themeColor="hyperlink"/>
      <w:u w:val="single"/>
    </w:rPr>
  </w:style>
  <w:style w:type="character" w:styleId="UnresolvedMention">
    <w:name w:val="Unresolved Mention"/>
    <w:basedOn w:val="DefaultParagraphFont"/>
    <w:uiPriority w:val="99"/>
    <w:semiHidden w:val="1"/>
    <w:unhideWhenUsed w:val="1"/>
    <w:rsid w:val="00443673"/>
    <w:rPr>
      <w:color w:val="605e5c"/>
      <w:shd w:color="auto" w:fill="e1dfdd" w:val="clear"/>
    </w:rPr>
  </w:style>
  <w:style w:type="paragraph" w:styleId="NoSpacing">
    <w:name w:val="No Spacing"/>
    <w:uiPriority w:val="1"/>
    <w:qFormat w:val="1"/>
    <w:rsid w:val="000B1303"/>
    <w:pPr>
      <w:widowControl w:val="0"/>
      <w:pBdr>
        <w:top w:space="0" w:sz="0" w:val="nil"/>
        <w:left w:space="0" w:sz="0" w:val="nil"/>
        <w:bottom w:space="0" w:sz="0" w:val="nil"/>
        <w:right w:space="0" w:sz="0" w:val="nil"/>
        <w:between w:space="0" w:sz="0" w:val="nil"/>
      </w:pBdr>
      <w:spacing w:line="240" w:lineRule="auto"/>
    </w:pPr>
    <w:rPr>
      <w:rFonts w:asciiTheme="majorHAnsi" w:cstheme="majorHAnsi" w:hAnsiTheme="majorHAnsi"/>
      <w:sz w:val="20"/>
      <w:szCs w:val="20"/>
    </w:rPr>
  </w:style>
  <w:style w:type="paragraph" w:styleId="Subtitle">
    <w:name w:val="Subtitle"/>
    <w:basedOn w:val="Normal"/>
    <w:next w:val="Normal"/>
    <w:pPr>
      <w:spacing w:before="0" w:lineRule="auto"/>
      <w:jc w:val="center"/>
    </w:pPr>
    <w:rPr>
      <w:color w:val="1f497d"/>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EE7jW2dKZj3eLEas7vTGxbX+vQ==">CgMxLjA4AHIhMWQ2VnR4dmhGbVFKSjBraFFyOVRrV1pSS0Z1Z21BNU1p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2022-01-24T23:38:00Z</dcterms:created>
  <dc:creator>Daniel Frew</dc:creator>
</cp:coreProperties>
</file>