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DB1745"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DB1745" w:rsidP="00646965">
      <w:pPr>
        <w:pStyle w:val="Subtitle"/>
      </w:pPr>
      <w:r w:rsidRPr="00646965">
        <w:t>126 Main Road, Lower Plenty 3093</w:t>
      </w:r>
    </w:p>
    <w:p w14:paraId="7F4FF1ED" w14:textId="75EF548D" w:rsidR="00AC3918" w:rsidRPr="00646965" w:rsidRDefault="00DB1745" w:rsidP="00646965">
      <w:pPr>
        <w:pStyle w:val="Subtitle"/>
      </w:pPr>
      <w:r w:rsidRPr="00646965">
        <w:t>Phone: 9435 2585</w:t>
      </w:r>
    </w:p>
    <w:p w14:paraId="3900FFFE" w14:textId="798B9B88" w:rsidR="00AC3918" w:rsidRPr="00646965" w:rsidRDefault="00DB1745" w:rsidP="00646965">
      <w:pPr>
        <w:pStyle w:val="Subtitle"/>
      </w:pPr>
      <w:r w:rsidRPr="00646965">
        <w:t>Email: lower.plenty.ps@education.vic.gov.au</w:t>
      </w:r>
    </w:p>
    <w:p w14:paraId="76698684" w14:textId="7BDAA96A" w:rsidR="00AC3918" w:rsidRPr="00646965" w:rsidRDefault="00DB1745" w:rsidP="00646965">
      <w:pPr>
        <w:pStyle w:val="Subtitle"/>
      </w:pPr>
      <w:r w:rsidRPr="00646965">
        <w:t>Website: www.lowerplentyps.vic.edu.au</w:t>
      </w:r>
    </w:p>
    <w:p w14:paraId="495A6E96" w14:textId="5BE28172" w:rsidR="00AC3918" w:rsidRDefault="00DB1745"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2D515B6B" w14:textId="66AFDBEF" w:rsidR="00AC3918" w:rsidRPr="00646965" w:rsidRDefault="00521869" w:rsidP="00646965">
      <w:pPr>
        <w:pStyle w:val="Title"/>
        <w:keepNext/>
        <w:spacing w:before="600" w:after="240"/>
      </w:pPr>
      <w:r>
        <w:rPr>
          <w:sz w:val="40"/>
        </w:rPr>
        <w:t>ARRIVALS AND DEPARTURES OF CHILDREN POLICY</w:t>
      </w:r>
    </w:p>
    <w:p>
      <w:pPr>
        <w:pStyle w:val="Heading2"/>
        <w:keepNext/>
        <w:widowControl/>
        <w:spacing w:before="200" w:after="80"/>
      </w:pPr>
      <w:r>
        <w:t>PURPOSE</w:t>
      </w:r>
    </w:p>
    <w:p>
      <w:pPr>
        <w:widowControl/>
        <w:spacing w:before="80" w:after="60"/>
      </w:pPr>
      <w:r>
        <w:t>Lower Plenty Primary School OSHC provides clear procedures for children’s safe arrival, handover and departure. Children’s safety, rights and best interests are the paramount consideration. Responsibility includes agreed school-to-OSH transitions and continues until a safe, authorised departure or handover; signing a record alone does not transfer responsibility.</w:t>
      </w:r>
    </w:p>
    <w:p>
      <w:pPr>
        <w:pStyle w:val="Heading2"/>
        <w:keepNext/>
        <w:widowControl/>
        <w:spacing w:before="200" w:after="80"/>
      </w:pPr>
      <w:r>
        <w:t>SCOPE</w:t>
      </w:r>
    </w:p>
    <w:p>
      <w:pPr>
        <w:widowControl/>
        <w:spacing w:before="80" w:after="60"/>
      </w:pPr>
      <w:r>
        <w:t>This policy applies to children, families, staff, management, volunteers and visitors of the OSHC service. It also covers safe travel between school, OSHC and other education or care services.</w:t>
      </w:r>
    </w:p>
    <w:p>
      <w:pPr>
        <w:pStyle w:val="Heading3"/>
        <w:keepNext/>
        <w:widowControl/>
        <w:spacing w:before="200" w:after="80"/>
      </w:pPr>
      <w:r>
        <w:t>Hours of Operation</w:t>
      </w:r>
    </w:p>
    <w:p>
      <w:pPr>
        <w:widowControl/>
        <w:spacing w:before="80" w:after="60"/>
      </w:pPr>
      <w:r>
        <w:t>After School Care: 2:45pm to 6:00pm. Vacation Care and pupil-free day hours are advised with each program. Before School Care procedures apply only when that service is offered.</w:t>
      </w:r>
    </w:p>
    <w:p>
      <w:pPr>
        <w:pStyle w:val="Heading2"/>
        <w:keepNext/>
        <w:widowControl/>
        <w:spacing w:before="200" w:after="80"/>
      </w:pPr>
      <w:r>
        <w:t>IMPLEMENTATION</w:t>
      </w:r>
    </w:p>
    <w:p>
      <w:pPr>
        <w:pStyle w:val="Heading3"/>
        <w:keepNext/>
        <w:widowControl/>
        <w:spacing w:before="200" w:after="80"/>
      </w:pPr>
      <w:r>
        <w:t>Attendance and handover</w:t>
      </w:r>
    </w:p>
    <w:p>
      <w:pPr>
        <w:pStyle w:val="ListParagraph"/>
        <w:keepLines/>
        <w:widowControl/>
        <w:numPr>
          <w:ilvl w:val="0"/>
          <w:numId w:val="13"/>
        </w:numPr>
        <w:spacing w:before="0" w:after="60"/>
      </w:pPr>
      <w:r>
        <w:t>The coordinator checks the daily booking list and any changes before children arrive. Families must advise OSHC directly of absences, cancellations or changed collection arrangements before the session. Staff record and verify changes; a school absence entry alone does not cancel an OSHC booking.</w:t>
      </w:r>
    </w:p>
    <w:p>
      <w:pPr>
        <w:pStyle w:val="ListParagraph"/>
        <w:keepLines/>
        <w:widowControl/>
        <w:numPr>
          <w:ilvl w:val="0"/>
          <w:numId w:val="13"/>
        </w:numPr>
        <w:spacing w:before="0" w:after="60"/>
      </w:pPr>
      <w:r>
        <w:t>After School Care: an educator checks each child against the booking list and signs them in at handover. School staff supervise children until handover at the agreed collection point. The OSHC educator supervises the group from that point to the OSHC room and checks the roll again on arrival. Arrange individual assistance where needed. At collection, the authorised person speaks with an educator and signs the child out before leaving.</w:t>
      </w:r>
    </w:p>
    <w:p>
      <w:pPr>
        <w:pStyle w:val="ListParagraph"/>
        <w:keepLines/>
        <w:widowControl/>
        <w:numPr>
          <w:ilvl w:val="0"/>
          <w:numId w:val="13"/>
        </w:numPr>
        <w:spacing w:before="0" w:after="60"/>
      </w:pPr>
      <w:r>
        <w:t>Before School Care, when offered: a parent or authorised person hands the child to an educator and signs them in. An educator records departure and hands children over to school supervision under the agreed transition arrangement.</w:t>
      </w:r>
    </w:p>
    <w:p>
      <w:pPr>
        <w:pStyle w:val="ListParagraph"/>
        <w:keepLines/>
        <w:widowControl/>
        <w:numPr>
          <w:ilvl w:val="0"/>
          <w:numId w:val="13"/>
        </w:numPr>
        <w:spacing w:before="0" w:after="60"/>
      </w:pPr>
      <w:r>
        <w:t>Vacation Care / pupil-free days: a parent or authorised person hands the child to an educator and signs them in. At collection, the authorised person speaks with an educator and signs the child out before leaving.</w:t>
      </w:r>
    </w:p>
    <w:p>
      <w:pPr>
        <w:pStyle w:val="ListParagraph"/>
        <w:keepLines/>
        <w:widowControl/>
        <w:numPr>
          <w:ilvl w:val="0"/>
          <w:numId w:val="13"/>
        </w:numPr>
        <w:spacing w:before="0" w:after="60"/>
      </w:pPr>
      <w:r>
        <w:t>Use the service’s electronic attendance record, or a paper backup if unavailable. Record each child’s full name, date, actual arrival and departure times and the signature or electronic authentication of the person delivering/collecting the child, nominated supervisor or educator. Staff promptly complete missed entries and record who made any correction.</w:t>
      </w:r>
    </w:p>
    <w:p>
      <w:pPr>
        <w:pStyle w:val="ListParagraph"/>
        <w:keepLines/>
        <w:widowControl/>
        <w:numPr>
          <w:ilvl w:val="0"/>
          <w:numId w:val="13"/>
        </w:numPr>
        <w:spacing w:before="0" w:after="60"/>
      </w:pPr>
      <w:r>
        <w:t>Educators reconcile the roll with children present, including when moving between areas and before closing. Maintain supervision and required ratios during all arrivals, departures and late collections.</w:t>
      </w:r>
    </w:p>
    <w:p>
      <w:pPr>
        <w:pStyle w:val="Heading3"/>
        <w:keepNext/>
        <w:pageBreakBefore/>
        <w:widowControl/>
        <w:spacing w:before="200" w:after="80"/>
      </w:pPr>
      <w:r>
        <w:t>Authorised collection and other activities</w:t>
      </w:r>
    </w:p>
    <w:p>
      <w:pPr>
        <w:pStyle w:val="ListParagraph"/>
        <w:keepLines/>
        <w:widowControl/>
        <w:numPr>
          <w:ilvl w:val="0"/>
          <w:numId w:val="13"/>
        </w:numPr>
        <w:spacing w:before="0" w:after="60"/>
      </w:pPr>
      <w:r>
        <w:t>Release a child only to a parent/guardian who is not prohibited by a court order, an authorised nominee in the enrolment record, or a person authorised by either. Check current authorisations and court orders. Ask unfamiliar collectors for photo identification and confirm it matches the authorisation before release.</w:t>
      </w:r>
    </w:p>
    <w:p>
      <w:pPr>
        <w:pStyle w:val="ListParagraph"/>
        <w:keepLines/>
        <w:widowControl/>
        <w:numPr>
          <w:ilvl w:val="0"/>
          <w:numId w:val="13"/>
        </w:numPr>
        <w:spacing w:before="0" w:after="60"/>
      </w:pPr>
      <w:r>
        <w:t>For an alternative collector, obtain written authorisation, such as an email, from the parent/guardian or authorised nominee. Record the collector’s full name and contact details and retain the authorisation with the enrolment record. Verify unexpected requests using a contact number already held by the service. If a request is made by phone, request written confirmation before release; keep the child supervised while arrangements are confirmed.</w:t>
      </w:r>
    </w:p>
    <w:p>
      <w:pPr>
        <w:pStyle w:val="ListParagraph"/>
        <w:keepLines/>
        <w:widowControl/>
        <w:numPr>
          <w:ilvl w:val="0"/>
          <w:numId w:val="13"/>
        </w:numPr>
        <w:spacing w:before="0" w:after="60"/>
      </w:pPr>
      <w:r>
        <w:t>If authorisation or identity cannot be confirmed, do not release the child. Contact the coordinator or responsible person, then the nominated supervisor (Principal or delegate), to resolve the matter with the family.</w:t>
      </w:r>
    </w:p>
    <w:p>
      <w:pPr>
        <w:pStyle w:val="ListParagraph"/>
        <w:keepLines/>
        <w:widowControl/>
        <w:numPr>
          <w:ilvl w:val="0"/>
          <w:numId w:val="13"/>
        </w:numPr>
        <w:spacing w:before="0" w:after="60"/>
      </w:pPr>
      <w:r>
        <w:t>A child may leave independently only with prior written authorisation from a parent/guardian or authorised nominee and the nominated supervisor’s agreement that the arrangement is safe. Record the destination, departure time, dates covered, route and supervision arrangements. Consider the child’s age, development, needs and risks. Staff sign the child out at actual departure and retain the authorisation. Telephone permission alone is insufficient.</w:t>
      </w:r>
    </w:p>
    <w:p>
      <w:pPr>
        <w:pStyle w:val="ListParagraph"/>
        <w:keepLines/>
        <w:widowControl/>
        <w:numPr>
          <w:ilvl w:val="0"/>
          <w:numId w:val="13"/>
        </w:numPr>
        <w:spacing w:before="0" w:after="60"/>
      </w:pPr>
      <w:r>
        <w:t>For a separate after-school activity, obtain written authorisation identifying the activity, person taking responsibility and handover arrangements. Record departure and return, confirm handover to the activity supervisor and arrange the child’s return. A child must not simply be sent away without the agreed handover.</w:t>
      </w:r>
    </w:p>
    <w:p>
      <w:pPr>
        <w:pStyle w:val="ListParagraph"/>
        <w:keepLines/>
        <w:widowControl/>
        <w:numPr>
          <w:ilvl w:val="0"/>
          <w:numId w:val="13"/>
        </w:numPr>
        <w:spacing w:before="0" w:after="60"/>
      </w:pPr>
      <w:r>
        <w:t>If a collector appears unable to safely care for the child, seek the responsible person’s assistance and arrange another authorised collector. Keep children safe and avoid confrontation. Call 000 if anyone is in immediate danger, or police if a person attempts to take a child without authority.</w:t>
      </w:r>
    </w:p>
    <w:p>
      <w:pPr>
        <w:pStyle w:val="ListParagraph"/>
        <w:keepLines/>
        <w:widowControl/>
        <w:numPr>
          <w:ilvl w:val="0"/>
          <w:numId w:val="13"/>
        </w:numPr>
        <w:spacing w:before="0" w:after="60"/>
      </w:pPr>
      <w:r>
        <w:t>Medical treatment, ambulance care, evacuation or another genuine emergency may require a child to leave under emergency procedures. Record the circumstances and who took responsibility, and notify the family as soon as practicable. Excursions and service-arranged transport must also meet their separate risk assessment and authorisation requirements.</w:t>
      </w:r>
    </w:p>
    <w:p>
      <w:pPr>
        <w:pStyle w:val="Heading3"/>
        <w:keepNext/>
        <w:widowControl/>
        <w:spacing w:before="200" w:after="80"/>
      </w:pPr>
      <w:r>
        <w:t>Late Arrivals and Departures</w:t>
      </w:r>
    </w:p>
    <w:p>
      <w:pPr>
        <w:pStyle w:val="ListParagraph"/>
        <w:keepLines/>
        <w:widowControl/>
        <w:numPr>
          <w:ilvl w:val="0"/>
          <w:numId w:val="13"/>
        </w:numPr>
        <w:spacing w:before="0" w:after="60"/>
      </w:pPr>
      <w:r>
        <w:t>If a booked child does not arrive at the expected handover, act immediately. Check the roll and absence messages; contact the school office or teacher to verify the child’s whereabouts. Alert the responsible person and Principal or delegate and promptly contact the parent/guardian. Use emergency contacts if needed. Do not wait 15 or 20 minutes before starting these checks.</w:t>
      </w:r>
    </w:p>
    <w:p>
      <w:pPr>
        <w:pStyle w:val="ListParagraph"/>
        <w:keepLines/>
        <w:widowControl/>
        <w:numPr>
          <w:ilvl w:val="0"/>
          <w:numId w:val="13"/>
        </w:numPr>
        <w:spacing w:before="0" w:after="60"/>
      </w:pPr>
      <w:r>
        <w:t>If the child’s safety and whereabouts cannot promptly be confirmed, call 000 for police assistance. Do not delay that call while trying every contact. School staff may assist with checks of likely locations while OSHC educators maintain supervision of the group. A PA announcement may assist but does not replace direct checks.</w:t>
      </w:r>
    </w:p>
    <w:p>
      <w:pPr>
        <w:pStyle w:val="ListParagraph"/>
        <w:keepLines/>
        <w:widowControl/>
        <w:numPr>
          <w:ilvl w:val="0"/>
          <w:numId w:val="13"/>
        </w:numPr>
        <w:spacing w:before="0" w:after="60"/>
      </w:pPr>
      <w:r>
        <w:t>At closing time, contact the parent/guardian of any uncollected child, then authorised emergency contacts if needed. Inform the nominated supervisor and arrange safe collection. If no authorised collector can be reached or safe collection cannot be arranged, seek police assistance. Call 000 for immediate danger. Keep the child supervised; never leave them alone or take them to an educator’s home.</w:t>
      </w:r>
    </w:p>
    <w:p>
      <w:pPr>
        <w:pStyle w:val="Heading3"/>
        <w:keepNext/>
        <w:widowControl/>
        <w:spacing w:before="200" w:after="80"/>
      </w:pPr>
      <w:r>
        <w:t>Children Leaving without Permission</w:t>
      </w:r>
    </w:p>
    <w:p>
      <w:pPr>
        <w:pStyle w:val="ListParagraph"/>
        <w:keepLines/>
        <w:widowControl/>
        <w:numPr>
          <w:ilvl w:val="0"/>
          <w:numId w:val="13"/>
        </w:numPr>
        <w:spacing w:before="0" w:after="60"/>
      </w:pPr>
      <w:r>
        <w:t>If a child leaves without permission or cannot be accounted for, alert the responsible person, Principal or delegate and parent/guardian immediately. Call 000 if their safety or location is uncertain. Provide the child’s description, last known location and direction of travel. Follow the school’s emergency procedures and police directions.</w:t>
      </w:r>
    </w:p>
    <w:p>
      <w:pPr>
        <w:pStyle w:val="ListParagraph"/>
        <w:keepLines/>
        <w:widowControl/>
        <w:numPr>
          <w:ilvl w:val="0"/>
          <w:numId w:val="13"/>
        </w:numPr>
        <w:spacing w:before="0" w:after="60"/>
      </w:pPr>
      <w:r>
        <w:t>Staff must not pursue a child if this would leave other children inadequately supervised or expose anyone to unacceptable risk. Request additional school staff assistance and maintain safe supervision of the remaining children.</w:t>
      </w:r>
    </w:p>
    <w:p>
      <w:pPr>
        <w:pStyle w:val="Heading3"/>
        <w:keepNext/>
        <w:pageBreakBefore/>
        <w:widowControl/>
        <w:spacing w:before="200" w:after="80"/>
      </w:pPr>
      <w:r>
        <w:t>Recording and reporting</w:t>
      </w:r>
    </w:p>
    <w:p>
      <w:pPr>
        <w:pStyle w:val="ListParagraph"/>
        <w:keepLines/>
        <w:widowControl/>
        <w:numPr>
          <w:ilvl w:val="0"/>
          <w:numId w:val="13"/>
        </w:numPr>
        <w:spacing w:before="0" w:after="60"/>
      </w:pPr>
      <w:r>
        <w:t>Record missing-child, unauthorised-departure and unsafe-collection incidents, actions and contact times under the Incident, Injury, Trauma and Illness procedures. Notify parents as soon as practicable and within 24 hours of an incident involving their child.</w:t>
      </w:r>
    </w:p>
    <w:p>
      <w:pPr>
        <w:pStyle w:val="ListParagraph"/>
        <w:keepLines/>
        <w:widowControl/>
        <w:numPr>
          <w:ilvl w:val="0"/>
          <w:numId w:val="13"/>
        </w:numPr>
        <w:spacing w:before="0" w:after="60"/>
      </w:pPr>
      <w:r>
        <w:t>Immediately inform the nominated supervisor and approved provider (School Council). The approved provider must notify the regulatory authority through the NQA IT System within 24 hours of a serious incident, including a child missing or unaccounted for while in care, an unauthorised removal, or a child mistakenly locked in or out. Follow other applicable child protection reporting procedures without delay.</w:t>
      </w:r>
    </w:p>
    <w:p>
      <w:pPr>
        <w:pStyle w:val="Heading3"/>
        <w:keepNext/>
        <w:widowControl/>
        <w:spacing w:before="200" w:after="80"/>
      </w:pPr>
      <w:r>
        <w:t>Safe arrival risk assessment and staff responsibilities</w:t>
      </w:r>
    </w:p>
    <w:p>
      <w:pPr>
        <w:pStyle w:val="ListParagraph"/>
        <w:keepLines/>
        <w:widowControl/>
        <w:numPr>
          <w:ilvl w:val="0"/>
          <w:numId w:val="13"/>
        </w:numPr>
        <w:spacing w:before="0" w:after="60"/>
      </w:pPr>
      <w:r>
        <w:t>The approved provider ensures a documented safe-arrival risk assessment is completed at least every 12 months and as soon as practicable after circumstances affecting safe arrival change. The coordinator and nominated supervisor consult educators, families and children where appropriate, and agree arrangements with school staff and any other service involved.</w:t>
      </w:r>
    </w:p>
    <w:p>
      <w:pPr>
        <w:pStyle w:val="ListParagraph"/>
        <w:keepLines/>
        <w:widowControl/>
        <w:numPr>
          <w:ilvl w:val="0"/>
          <w:numId w:val="13"/>
        </w:numPr>
        <w:spacing w:before="0" w:after="60"/>
      </w:pPr>
      <w:r>
        <w:t>Keep the assessment accessible to educators. It must identify the collection point, route, destination, hazards, entry and exit arrangements, supervision needed, children’s ages and individual needs, who is responsible at each stage, communication arrangements, missing-child response and any authorised independent departure. Keep each assessment and promptly update procedures when risks are identified.</w:t>
      </w:r>
    </w:p>
    <w:p>
      <w:pPr>
        <w:pStyle w:val="ListParagraph"/>
        <w:keepLines/>
        <w:widowControl/>
        <w:numPr>
          <w:ilvl w:val="0"/>
          <w:numId w:val="13"/>
        </w:numPr>
        <w:spacing w:before="0" w:after="60"/>
      </w:pPr>
      <w:r>
        <w:t>The coordinator briefs all educators, including relief staff, on these procedures and the risk assessment before they take responsibility for children. Share collection and transition arrangements with families. The nominated supervisor monitors attendance checks and reviews incidents with staff to improve practice.</w:t>
      </w:r>
    </w:p>
    <w:p>
      <w:pPr>
        <w:pStyle w:val="Heading2"/>
        <w:keepNext/>
        <w:widowControl/>
        <w:spacing w:before="200" w:after="80"/>
      </w:pPr>
      <w:r>
        <w:t>FURTHER INFORMATION AND RESOURCES</w:t>
      </w:r>
    </w:p>
    <w:p>
      <w:pPr>
        <w:widowControl/>
        <w:spacing w:before="80" w:after="60"/>
      </w:pPr>
      <w:r>
        <w:t>Education and Care Services National Law Act 2010, including sections 2A, 165, 167 and 174; Education and Care Services National Regulations, including regulations 12, 86–87, 99, 102AAB–102AAC, 158, 160–161, 168 and 170–172, 176 and 183, as applying in Victoria.</w:t>
      </w:r>
    </w:p>
    <w:p>
      <w:pPr>
        <w:widowControl/>
        <w:spacing w:before="80" w:after="60"/>
      </w:pPr>
      <w:r>
        <w:t>National Quality Standard: Quality Areas 2, 6 and 7. Read with the service’s authorisation, child safety, supervision, incident management, emergency, excursion and transport procedures, where applicable.</w:t>
      </w:r>
    </w:p>
    <w:p>
      <w:pPr>
        <w:widowControl/>
        <w:spacing w:before="80" w:after="60"/>
      </w:pPr>
      <w:hyperlink r:id="rId9">
        <w:r>
          <w:rPr>
            <w:color w:val="1F497D"/>
          </w:rPr>
          <w:t>ACECQA guidance on delivery and collection of children</w:t>
        </w:r>
      </w:hyperlink>
    </w:p>
    <w:p>
      <w:pPr>
        <w:widowControl/>
        <w:spacing w:before="80" w:after="60"/>
      </w:pPr>
      <w:hyperlink r:id="rId10">
        <w:r>
          <w:rPr>
            <w:color w:val="1F497D"/>
          </w:rPr>
          <w:t>ACECQA Safe arrival of children guidance March 2026</w:t>
        </w:r>
      </w:hyperlink>
    </w:p>
    <w:p>
      <w:pPr>
        <w:widowControl/>
        <w:spacing w:before="80" w:after="60"/>
      </w:pPr>
      <w:hyperlink r:id="rId11">
        <w:r>
          <w:rPr>
            <w:color w:val="1F497D"/>
          </w:rPr>
          <w:t>ACECQA notification types and timeframes</w:t>
        </w:r>
      </w:hyperlink>
    </w:p>
    <w:p>
      <w:pPr>
        <w:pStyle w:val="Heading2"/>
        <w:keepNext/>
        <w:widowControl/>
        <w:spacing w:before="200" w:after="80"/>
      </w:pPr>
      <w:r>
        <w:t>REVIEW CYCLE AND EVALUATION</w:t>
      </w:r>
    </w:p>
    <w:p>
      <w:pPr>
        <w:widowControl/>
        <w:spacing w:before="80" w:after="60"/>
      </w:pPr>
      <w:r>
        <w:t>Revised 27 October 2026. School Council approval and commencement dates are to be recorded in the school’s policy register. Next review: October 2027, or earlier after an incident or change to requirements or service arrangements.</w:t>
      </w:r>
    </w:p>
    <w:p>
      <w:pPr>
        <w:widowControl/>
        <w:spacing w:before="80" w:after="60"/>
      </w:pPr>
      <w:r>
        <w:t>Consult staff and families, and children where appropriate, when reviewing safe-arrival arrangements. Explain changes to staff and families. Give families at least 14 days’ notice of changes with a significant impact on care or their use of the service, unless waiting would risk a child’s safety, health or wellbeing; in that case notify them as soon as practicable after the change.</w:t>
      </w:r>
    </w:p>
    <w:sectPr w:rsidR="00AC3918" w:rsidRPr="00443673">
      <w:footerReference w:type="default" r:id="rId12"/>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Lower Plenty Primary School OSHC  |  </w:t>
    </w:r>
    <w:fldSimple w:instr="PAGE"/>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7"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8"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9"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0"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1"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3"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4"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16"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7"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99473621">
    <w:abstractNumId w:val="2"/>
  </w:num>
  <w:num w:numId="2" w16cid:durableId="704594769">
    <w:abstractNumId w:val="15"/>
  </w:num>
  <w:num w:numId="3" w16cid:durableId="1364594305">
    <w:abstractNumId w:val="8"/>
  </w:num>
  <w:num w:numId="4" w16cid:durableId="207910916">
    <w:abstractNumId w:val="16"/>
  </w:num>
  <w:num w:numId="5" w16cid:durableId="1732843970">
    <w:abstractNumId w:val="10"/>
  </w:num>
  <w:num w:numId="6" w16cid:durableId="1257980862">
    <w:abstractNumId w:val="6"/>
  </w:num>
  <w:num w:numId="7" w16cid:durableId="1416710529">
    <w:abstractNumId w:val="12"/>
  </w:num>
  <w:num w:numId="8" w16cid:durableId="1561358567">
    <w:abstractNumId w:val="13"/>
  </w:num>
  <w:num w:numId="9" w16cid:durableId="246771443">
    <w:abstractNumId w:val="7"/>
  </w:num>
  <w:num w:numId="10" w16cid:durableId="311637314">
    <w:abstractNumId w:val="9"/>
  </w:num>
  <w:num w:numId="11" w16cid:durableId="2036155929">
    <w:abstractNumId w:val="0"/>
  </w:num>
  <w:num w:numId="12" w16cid:durableId="1750151323">
    <w:abstractNumId w:val="17"/>
  </w:num>
  <w:num w:numId="13" w16cid:durableId="1139999312">
    <w:abstractNumId w:val="14"/>
  </w:num>
  <w:num w:numId="14" w16cid:durableId="2075623039">
    <w:abstractNumId w:val="5"/>
  </w:num>
  <w:num w:numId="15" w16cid:durableId="1248270055">
    <w:abstractNumId w:val="3"/>
  </w:num>
  <w:num w:numId="16" w16cid:durableId="647591858">
    <w:abstractNumId w:val="1"/>
  </w:num>
  <w:num w:numId="17" w16cid:durableId="2101363317">
    <w:abstractNumId w:val="11"/>
  </w:num>
  <w:num w:numId="18" w16cid:durableId="21258825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236053"/>
    <w:rsid w:val="002D64D2"/>
    <w:rsid w:val="003166A9"/>
    <w:rsid w:val="003906F7"/>
    <w:rsid w:val="00443673"/>
    <w:rsid w:val="00521869"/>
    <w:rsid w:val="00527C05"/>
    <w:rsid w:val="005C3C60"/>
    <w:rsid w:val="00646965"/>
    <w:rsid w:val="00843914"/>
    <w:rsid w:val="00AC3918"/>
    <w:rsid w:val="00B24120"/>
    <w:rsid w:val="00B6368D"/>
    <w:rsid w:val="00BC6BB1"/>
    <w:rsid w:val="00C37336"/>
    <w:rsid w:val="00CF7E2D"/>
    <w:rsid w:val="00DB17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hyperlink" Target="https://www.acecqa.gov.au/sites/default/files/2021-08/DeliveryChildrenToCollectionFromPremisesGuidelines.pdf" TargetMode="External"/><Relationship Id="rId10" Type="http://schemas.openxmlformats.org/officeDocument/2006/relationships/hyperlink" Target="https://www.acecqa.gov.au/media/37561" TargetMode="External"/><Relationship Id="rId11" Type="http://schemas.openxmlformats.org/officeDocument/2006/relationships/hyperlink" Target="https://www.acecqa.gov.au/resources/applications/notification-types-and-timeframes"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2024-03-07T23:54:00Z</cp:lastPrinted>
  <dcterms:created xsi:type="dcterms:W3CDTF">2022-01-24T04:15:00Z</dcterms:created>
  <dcterms:modified xsi:type="dcterms:W3CDTF">2024-03-07T23:54:00Z</dcterms:modified>
  <dc:title>Arrivals and Departures of Children Policy</dc:title>
  <dc:subject>Lower Plenty Primary School OSHC</dc:subject>
</cp:coreProperties>
</file>