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60"/>
      </w:pPr>
      <w:r>
        <w:drawing>
          <wp:inline xmlns:a="http://schemas.openxmlformats.org/drawingml/2006/main" xmlns:pic="http://schemas.openxmlformats.org/drawingml/2006/picture">
            <wp:extent cx="1007999" cy="694956"/>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007999" cy="694956"/>
                    </a:xfrm>
                    <a:prstGeom prst="rect"/>
                  </pic:spPr>
                </pic:pic>
              </a:graphicData>
            </a:graphic>
          </wp:inline>
        </w:drawing>
      </w:r>
    </w:p>
    <w:p>
      <w:pPr>
        <w:pStyle w:val="Title"/>
        <w:widowControl/>
      </w:pPr>
      <w:r>
        <w:t>Governance and Management Policy</w:t>
      </w:r>
    </w:p>
    <w:p>
      <w:pPr>
        <w:pStyle w:val="Subtitle"/>
        <w:widowControl/>
      </w:pPr>
      <w:r>
        <w:t>Lower Plenty Primary School Outside School Hours Care</w:t>
      </w:r>
    </w:p>
    <w:p>
      <w:pPr>
        <w:widowControl/>
      </w:pPr>
      <w:r>
        <w:t>126–144 Main Road, Lower Plenty VIC 3093  |  (03) 9432 0766</w:t>
        <w:br/>
        <w:t>lower.plenty.ps@education.vic.gov.au  |  www.lowerplentyps.vic.edu.au</w:t>
      </w:r>
    </w:p>
    <w:p>
      <w:pPr>
        <w:widowControl/>
      </w:pPr>
      <w:r>
        <w:t>Revision date: 26 October 2026</w:t>
        <w:br/>
        <w:t>Approval authority: School Council</w:t>
        <w:br/>
        <w:t>Effective date: Date of School Council adoption, recorded in the meeting minutes</w:t>
        <w:br/>
        <w:t>Next scheduled review: October 2027, or earlier when required</w:t>
      </w:r>
    </w:p>
    <w:p>
      <w:pPr>
        <w:pStyle w:val="Heading1"/>
        <w:widowControl/>
      </w:pPr>
      <w:r>
        <w:t>Purpose</w:t>
      </w:r>
    </w:p>
    <w:p>
      <w:pPr>
        <w:widowControl/>
      </w:pPr>
      <w:r>
        <w:t>We provide clear and accountable governance for Lower Plenty Primary School Outside School Hours Care (OSHC), including vacation care. Children’s safety, rights and best interests are the paramount consideration in every decision and action relating to the operation and delivery of the service. This includes decisions about staffing, resources, finance, facilities and the educational program.</w:t>
      </w:r>
    </w:p>
    <w:p>
      <w:pPr>
        <w:widowControl/>
      </w:pPr>
      <w:r>
        <w:t>This policy establishes responsibilities and practical controls for lawful operation, child safety, financial management, reporting, confidentiality and continuous improvement. Our school-age program is guided by My Time, Our Place: Framework for School Age Care in Australia V2.0, the service philosophy and the National Quality Standard (NQS).</w:t>
      </w:r>
    </w:p>
    <w:p>
      <w:pPr>
        <w:pStyle w:val="Heading1"/>
        <w:widowControl/>
      </w:pPr>
      <w:r>
        <w:t>Scope</w:t>
      </w:r>
    </w:p>
    <w:p>
      <w:pPr>
        <w:widowControl/>
      </w:pPr>
      <w:r>
        <w:t>This policy applies to School Council and persons with management or control of the service, the principal, nominated supervisors, the coordinator, educational leader, staff, volunteers and placement students. Families, contractors and visitors must follow the requirements relevant to their participation in the service.</w:t>
      </w:r>
    </w:p>
    <w:p>
      <w:pPr>
        <w:pStyle w:val="Heading1"/>
        <w:widowControl/>
      </w:pPr>
      <w:r>
        <w:t>Principles</w:t>
      </w:r>
    </w:p>
    <w:p>
      <w:pPr>
        <w:widowControl/>
        <w:tabs>
          <w:tab w:pos="255" w:val="left"/>
        </w:tabs>
        <w:spacing w:after="80"/>
        <w:ind w:left="255" w:hanging="170"/>
      </w:pPr>
      <w:r>
        <w:t>•</w:t>
        <w:tab/>
        <w:t>Children are listened to, treated with dignity and supported to raise concerns safely. Decisions recognise diversity, disability, cultural safety and the particular importance of cultural safety for Aboriginal children.</w:t>
      </w:r>
    </w:p>
    <w:p>
      <w:pPr>
        <w:widowControl/>
        <w:tabs>
          <w:tab w:pos="255" w:val="left"/>
        </w:tabs>
        <w:spacing w:after="80"/>
        <w:ind w:left="255" w:hanging="170"/>
      </w:pPr>
      <w:r>
        <w:t>•</w:t>
        <w:tab/>
        <w:t>Authority is documented, risks are actively managed and concerns are reported without delay. Delegating a task does not remove a person’s statutory responsibilities.</w:t>
      </w:r>
    </w:p>
    <w:p>
      <w:pPr>
        <w:widowControl/>
        <w:tabs>
          <w:tab w:pos="255" w:val="left"/>
        </w:tabs>
        <w:spacing w:after="80"/>
        <w:ind w:left="255" w:hanging="170"/>
      </w:pPr>
      <w:r>
        <w:t>•</w:t>
        <w:tab/>
        <w:t>We consult children, families and staff, protect confidential information and use feedback and evidence to improve the service.</w:t>
      </w:r>
    </w:p>
    <w:p>
      <w:r>
        <w:br w:type="page"/>
      </w:r>
    </w:p>
    <w:p>
      <w:pPr>
        <w:pStyle w:val="Heading1"/>
        <w:widowControl/>
      </w:pPr>
      <w:r>
        <w:t>Governance structure and key terms</w:t>
      </w:r>
    </w:p>
    <w:p>
      <w:pPr>
        <w:widowControl/>
      </w:pPr>
      <w:r>
        <w:t>School Council is the approved provider for the school-operated OSHC service. The exact approved-provider name, approval numbers and service conditions are those recorded in the provider and service approvals and NQA ITS. The principal maintains access to these records. The policy does not appoint a person to a statutory role; appointments and written consents must be recorded separately.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4"/>
        <w:gridCol w:w="7370"/>
      </w:tblGrid>
      <w:tr>
        <w:trPr>
          <w:cantSplit/>
          <w:tblHeader/>
        </w:trPr>
        <w:tc>
          <w:tcPr>
            <w:tcW w:type="dxa" w:w="2494"/>
            <w:vAlign w:val="center"/>
            <w:tcMar>
              <w:top w:w="95" w:type="dxa"/>
              <w:left w:w="95" w:type="dxa"/>
              <w:bottom w:w="95" w:type="dxa"/>
              <w:right w:w="95" w:type="dxa"/>
            </w:tcMar>
            <w:shd w:fill="E7EEF0"/>
          </w:tcPr>
          <w:p>
            <w:pPr>
              <w:spacing w:after="40" w:before="40" w:line="240" w:lineRule="auto"/>
            </w:pPr>
            <w:r>
              <w:rPr>
                <w:b/>
                <w:color w:val="000000"/>
                <w:sz w:val="21"/>
              </w:rPr>
              <w:t>Role or term</w:t>
            </w:r>
          </w:p>
        </w:tc>
        <w:tc>
          <w:tcPr>
            <w:tcW w:type="dxa" w:w="7370"/>
            <w:vAlign w:val="center"/>
            <w:tcMar>
              <w:top w:w="95" w:type="dxa"/>
              <w:left w:w="95" w:type="dxa"/>
              <w:bottom w:w="95" w:type="dxa"/>
              <w:right w:w="95" w:type="dxa"/>
            </w:tcMar>
            <w:shd w:fill="E7EEF0"/>
          </w:tcPr>
          <w:p>
            <w:pPr>
              <w:spacing w:after="40" w:before="40" w:line="240" w:lineRule="auto"/>
            </w:pPr>
            <w:r>
              <w:rPr>
                <w:b/>
                <w:color w:val="000000"/>
                <w:sz w:val="21"/>
              </w:rPr>
              <w:t>Meaning and authority</w:t>
            </w:r>
          </w:p>
        </w:tc>
      </w:tr>
      <w:tr>
        <w:trPr>
          <w:cantSplit/>
        </w:trPr>
        <w:tc>
          <w:tcPr>
            <w:tcW w:type="dxa" w:w="2494"/>
            <w:vAlign w:val="center"/>
            <w:tcMar>
              <w:top w:w="95" w:type="dxa"/>
              <w:left w:w="95" w:type="dxa"/>
              <w:bottom w:w="95" w:type="dxa"/>
              <w:right w:w="95" w:type="dxa"/>
            </w:tcMar>
            <w:shd w:fill="FFFFFF"/>
          </w:tcPr>
          <w:p>
            <w:pPr>
              <w:spacing w:after="40" w:before="40" w:line="240" w:lineRule="auto"/>
            </w:pPr>
            <w:r>
              <w:rPr>
                <w:b w:val="0"/>
                <w:color w:val="000000"/>
                <w:sz w:val="21"/>
              </w:rPr>
              <w:t>Approved provider</w:t>
            </w:r>
          </w:p>
        </w:tc>
        <w:tc>
          <w:tcPr>
            <w:tcW w:type="dxa" w:w="7370"/>
            <w:vAlign w:val="center"/>
            <w:tcMar>
              <w:top w:w="95" w:type="dxa"/>
              <w:left w:w="95" w:type="dxa"/>
              <w:bottom w:w="95" w:type="dxa"/>
              <w:right w:w="95" w:type="dxa"/>
            </w:tcMar>
            <w:shd w:fill="FFFFFF"/>
          </w:tcPr>
          <w:p>
            <w:pPr>
              <w:spacing w:after="40" w:before="40" w:line="240" w:lineRule="auto"/>
            </w:pPr>
            <w:r>
              <w:rPr>
                <w:b w:val="0"/>
                <w:color w:val="000000"/>
                <w:sz w:val="21"/>
              </w:rPr>
              <w:t>The legal entity holding provider approval. School Council retains responsibility for the service’s compliance, including when operational work is delegated.</w:t>
            </w:r>
          </w:p>
        </w:tc>
      </w:tr>
      <w:tr>
        <w:trPr>
          <w:cantSplit/>
        </w:trPr>
        <w:tc>
          <w:tcPr>
            <w:tcW w:type="dxa" w:w="2494"/>
            <w:vAlign w:val="center"/>
            <w:tcMar>
              <w:top w:w="95" w:type="dxa"/>
              <w:left w:w="95" w:type="dxa"/>
              <w:bottom w:w="95" w:type="dxa"/>
              <w:right w:w="95" w:type="dxa"/>
            </w:tcMar>
            <w:shd w:fill="FFFFFF"/>
          </w:tcPr>
          <w:p>
            <w:pPr>
              <w:spacing w:after="40" w:before="40" w:line="240" w:lineRule="auto"/>
            </w:pPr>
            <w:r>
              <w:rPr>
                <w:b w:val="0"/>
                <w:color w:val="000000"/>
                <w:sz w:val="21"/>
              </w:rPr>
              <w:t>Person with management or control</w:t>
            </w:r>
          </w:p>
        </w:tc>
        <w:tc>
          <w:tcPr>
            <w:tcW w:type="dxa" w:w="7370"/>
            <w:vAlign w:val="center"/>
            <w:tcMar>
              <w:top w:w="95" w:type="dxa"/>
              <w:left w:w="95" w:type="dxa"/>
              <w:bottom w:w="95" w:type="dxa"/>
              <w:right w:w="95" w:type="dxa"/>
            </w:tcMar>
            <w:shd w:fill="FFFFFF"/>
          </w:tcPr>
          <w:p>
            <w:pPr>
              <w:spacing w:after="40" w:before="40" w:line="240" w:lineRule="auto"/>
            </w:pPr>
            <w:r>
              <w:rPr>
                <w:b w:val="0"/>
                <w:color w:val="000000"/>
                <w:sz w:val="21"/>
              </w:rPr>
              <w:t>A person meeting the National Law definition through their influence over the service’s planning, direction, control or delivery. Relevant persons are identified and notified to the regulator; titles alone do not determine this status.</w:t>
            </w:r>
          </w:p>
        </w:tc>
      </w:tr>
      <w:tr>
        <w:trPr>
          <w:cantSplit/>
        </w:trPr>
        <w:tc>
          <w:tcPr>
            <w:tcW w:type="dxa" w:w="2494"/>
            <w:vAlign w:val="center"/>
            <w:tcMar>
              <w:top w:w="95" w:type="dxa"/>
              <w:left w:w="95" w:type="dxa"/>
              <w:bottom w:w="95" w:type="dxa"/>
              <w:right w:w="95" w:type="dxa"/>
            </w:tcMar>
            <w:shd w:fill="FFFFFF"/>
          </w:tcPr>
          <w:p>
            <w:pPr>
              <w:spacing w:after="40" w:before="40" w:line="240" w:lineRule="auto"/>
            </w:pPr>
            <w:r>
              <w:rPr>
                <w:b w:val="0"/>
                <w:color w:val="000000"/>
                <w:sz w:val="21"/>
              </w:rPr>
              <w:t>Nominated supervisor</w:t>
            </w:r>
          </w:p>
        </w:tc>
        <w:tc>
          <w:tcPr>
            <w:tcW w:type="dxa" w:w="7370"/>
            <w:vAlign w:val="center"/>
            <w:tcMar>
              <w:top w:w="95" w:type="dxa"/>
              <w:left w:w="95" w:type="dxa"/>
              <w:bottom w:w="95" w:type="dxa"/>
              <w:right w:w="95" w:type="dxa"/>
            </w:tcMar>
            <w:shd w:fill="FFFFFF"/>
          </w:tcPr>
          <w:p>
            <w:pPr>
              <w:spacing w:after="40" w:before="40" w:line="240" w:lineRule="auto"/>
            </w:pPr>
            <w:r>
              <w:rPr>
                <w:b w:val="0"/>
                <w:color w:val="000000"/>
                <w:sz w:val="21"/>
              </w:rPr>
              <w:t>A suitably qualified and suitable person nominated for the service who has given written consent. Responsible for the duties applying to that role under the National Law and Regulations.</w:t>
            </w:r>
          </w:p>
        </w:tc>
      </w:tr>
      <w:tr>
        <w:trPr>
          <w:cantSplit/>
        </w:trPr>
        <w:tc>
          <w:tcPr>
            <w:tcW w:type="dxa" w:w="2494"/>
            <w:vAlign w:val="center"/>
            <w:tcMar>
              <w:top w:w="95" w:type="dxa"/>
              <w:left w:w="95" w:type="dxa"/>
              <w:bottom w:w="95" w:type="dxa"/>
              <w:right w:w="95" w:type="dxa"/>
            </w:tcMar>
            <w:shd w:fill="FFFFFF"/>
          </w:tcPr>
          <w:p>
            <w:pPr>
              <w:spacing w:after="40" w:before="40" w:line="240" w:lineRule="auto"/>
            </w:pPr>
            <w:r>
              <w:rPr>
                <w:b w:val="0"/>
                <w:color w:val="000000"/>
                <w:sz w:val="21"/>
              </w:rPr>
              <w:t>Responsible person</w:t>
            </w:r>
          </w:p>
        </w:tc>
        <w:tc>
          <w:tcPr>
            <w:tcW w:type="dxa" w:w="7370"/>
            <w:vAlign w:val="center"/>
            <w:tcMar>
              <w:top w:w="95" w:type="dxa"/>
              <w:left w:w="95" w:type="dxa"/>
              <w:bottom w:w="95" w:type="dxa"/>
              <w:right w:w="95" w:type="dxa"/>
            </w:tcMar>
            <w:shd w:fill="FFFFFF"/>
          </w:tcPr>
          <w:p>
            <w:pPr>
              <w:spacing w:after="40" w:before="40" w:line="240" w:lineRule="auto"/>
            </w:pPr>
            <w:r>
              <w:rPr>
                <w:b w:val="0"/>
                <w:color w:val="000000"/>
                <w:sz w:val="21"/>
              </w:rPr>
              <w:t>An eligible approved provider or person with management or control, a nominated supervisor, or a properly appointed person in day-to-day charge. A responsible person must be present whenever children are being educated and cared for.</w:t>
            </w:r>
          </w:p>
        </w:tc>
      </w:tr>
      <w:tr>
        <w:trPr>
          <w:cantSplit/>
        </w:trPr>
        <w:tc>
          <w:tcPr>
            <w:tcW w:type="dxa" w:w="2494"/>
            <w:vAlign w:val="center"/>
            <w:tcMar>
              <w:top w:w="95" w:type="dxa"/>
              <w:left w:w="95" w:type="dxa"/>
              <w:bottom w:w="95" w:type="dxa"/>
              <w:right w:w="95" w:type="dxa"/>
            </w:tcMar>
            <w:shd w:fill="FFFFFF"/>
          </w:tcPr>
          <w:p>
            <w:pPr>
              <w:spacing w:after="40" w:before="40" w:line="240" w:lineRule="auto"/>
            </w:pPr>
            <w:r>
              <w:rPr>
                <w:b w:val="0"/>
                <w:color w:val="000000"/>
                <w:sz w:val="21"/>
              </w:rPr>
              <w:t>Coordinator</w:t>
            </w:r>
          </w:p>
        </w:tc>
        <w:tc>
          <w:tcPr>
            <w:tcW w:type="dxa" w:w="7370"/>
            <w:vAlign w:val="center"/>
            <w:tcMar>
              <w:top w:w="95" w:type="dxa"/>
              <w:left w:w="95" w:type="dxa"/>
              <w:bottom w:w="95" w:type="dxa"/>
              <w:right w:w="95" w:type="dxa"/>
            </w:tcMar>
            <w:shd w:fill="FFFFFF"/>
          </w:tcPr>
          <w:p>
            <w:pPr>
              <w:spacing w:after="40" w:before="40" w:line="240" w:lineRule="auto"/>
            </w:pPr>
            <w:r>
              <w:rPr>
                <w:b w:val="0"/>
                <w:color w:val="000000"/>
                <w:sz w:val="21"/>
              </w:rPr>
              <w:t>The person managing daily operations under documented authority. The coordinator is not automatically the nominated supervisor or educational leader.</w:t>
            </w:r>
          </w:p>
        </w:tc>
      </w:tr>
      <w:tr>
        <w:trPr>
          <w:cantSplit/>
        </w:trPr>
        <w:tc>
          <w:tcPr>
            <w:tcW w:type="dxa" w:w="2494"/>
            <w:vAlign w:val="center"/>
            <w:tcMar>
              <w:top w:w="95" w:type="dxa"/>
              <w:left w:w="95" w:type="dxa"/>
              <w:bottom w:w="95" w:type="dxa"/>
              <w:right w:w="95" w:type="dxa"/>
            </w:tcMar>
            <w:shd w:fill="FFFFFF"/>
          </w:tcPr>
          <w:p>
            <w:pPr>
              <w:spacing w:after="40" w:before="40" w:line="240" w:lineRule="auto"/>
            </w:pPr>
            <w:r>
              <w:rPr>
                <w:b w:val="0"/>
                <w:color w:val="000000"/>
                <w:sz w:val="21"/>
              </w:rPr>
              <w:t>Educational leader</w:t>
            </w:r>
          </w:p>
        </w:tc>
        <w:tc>
          <w:tcPr>
            <w:tcW w:type="dxa" w:w="7370"/>
            <w:vAlign w:val="center"/>
            <w:tcMar>
              <w:top w:w="95" w:type="dxa"/>
              <w:left w:w="95" w:type="dxa"/>
              <w:bottom w:w="95" w:type="dxa"/>
              <w:right w:w="95" w:type="dxa"/>
            </w:tcMar>
            <w:shd w:fill="FFFFFF"/>
          </w:tcPr>
          <w:p>
            <w:pPr>
              <w:spacing w:after="40" w:before="40" w:line="240" w:lineRule="auto"/>
            </w:pPr>
            <w:r>
              <w:rPr>
                <w:b w:val="0"/>
                <w:color w:val="000000"/>
                <w:sz w:val="21"/>
              </w:rPr>
              <w:t>A suitably qualified and experienced person designated in writing to lead the educational program and assessment and planning cycle.</w:t>
            </w:r>
          </w:p>
        </w:tc>
      </w:tr>
      <w:tr>
        <w:trPr>
          <w:cantSplit/>
        </w:trPr>
        <w:tc>
          <w:tcPr>
            <w:tcW w:type="dxa" w:w="2494"/>
            <w:vAlign w:val="center"/>
            <w:tcMar>
              <w:top w:w="95" w:type="dxa"/>
              <w:left w:w="95" w:type="dxa"/>
              <w:bottom w:w="95" w:type="dxa"/>
              <w:right w:w="95" w:type="dxa"/>
            </w:tcMar>
            <w:shd w:fill="FFFFFF"/>
          </w:tcPr>
          <w:p>
            <w:pPr>
              <w:spacing w:after="40" w:before="40" w:line="240" w:lineRule="auto"/>
            </w:pPr>
            <w:r>
              <w:rPr>
                <w:b w:val="0"/>
                <w:color w:val="000000"/>
                <w:sz w:val="21"/>
              </w:rPr>
              <w:t>VECRA</w:t>
            </w:r>
          </w:p>
        </w:tc>
        <w:tc>
          <w:tcPr>
            <w:tcW w:type="dxa" w:w="7370"/>
            <w:vAlign w:val="center"/>
            <w:tcMar>
              <w:top w:w="95" w:type="dxa"/>
              <w:left w:w="95" w:type="dxa"/>
              <w:bottom w:w="95" w:type="dxa"/>
              <w:right w:w="95" w:type="dxa"/>
            </w:tcMar>
            <w:shd w:fill="FFFFFF"/>
          </w:tcPr>
          <w:p>
            <w:pPr>
              <w:spacing w:after="40" w:before="40" w:line="240" w:lineRule="auto"/>
            </w:pPr>
            <w:r>
              <w:rPr>
                <w:b w:val="0"/>
                <w:color w:val="000000"/>
                <w:sz w:val="21"/>
              </w:rPr>
              <w:t>Victorian Early Childhood Regulatory Authority, the Victorian regulatory authority for the service.</w:t>
            </w:r>
          </w:p>
        </w:tc>
      </w:tr>
      <w:tr>
        <w:trPr>
          <w:cantSplit/>
        </w:trPr>
        <w:tc>
          <w:tcPr>
            <w:tcW w:type="dxa" w:w="2494"/>
            <w:vAlign w:val="center"/>
            <w:tcMar>
              <w:top w:w="95" w:type="dxa"/>
              <w:left w:w="95" w:type="dxa"/>
              <w:bottom w:w="95" w:type="dxa"/>
              <w:right w:w="95" w:type="dxa"/>
            </w:tcMar>
            <w:shd w:fill="FFFFFF"/>
          </w:tcPr>
          <w:p>
            <w:pPr>
              <w:spacing w:after="40" w:before="40" w:line="240" w:lineRule="auto"/>
            </w:pPr>
            <w:r>
              <w:rPr>
                <w:b w:val="0"/>
                <w:color w:val="000000"/>
                <w:sz w:val="21"/>
              </w:rPr>
              <w:t>NQA ITS</w:t>
            </w:r>
          </w:p>
        </w:tc>
        <w:tc>
          <w:tcPr>
            <w:tcW w:type="dxa" w:w="7370"/>
            <w:vAlign w:val="center"/>
            <w:tcMar>
              <w:top w:w="95" w:type="dxa"/>
              <w:left w:w="95" w:type="dxa"/>
              <w:bottom w:w="95" w:type="dxa"/>
              <w:right w:w="95" w:type="dxa"/>
            </w:tcMar>
            <w:shd w:fill="FFFFFF"/>
          </w:tcPr>
          <w:p>
            <w:pPr>
              <w:spacing w:after="40" w:before="40" w:line="240" w:lineRule="auto"/>
            </w:pPr>
            <w:r>
              <w:rPr>
                <w:b w:val="0"/>
                <w:color w:val="000000"/>
                <w:sz w:val="21"/>
              </w:rPr>
              <w:t>National Quality Agenda IT System used for service and provider administration, notifications and the National Early Childhood Worker Register.</w:t>
            </w:r>
          </w:p>
        </w:tc>
      </w:tr>
    </w:tbl>
    <w:p>
      <w:pPr>
        <w:widowControl/>
        <w:spacing w:after="0"/>
      </w:pPr>
    </w:p>
    <w:p>
      <w:pPr>
        <w:pStyle w:val="Heading1"/>
        <w:widowControl/>
      </w:pPr>
      <w:r>
        <w:t>Approved provider responsibilities</w:t>
      </w:r>
    </w:p>
    <w:p>
      <w:pPr>
        <w:widowControl/>
      </w:pPr>
      <w:r>
        <w:t>School Council, supported by the principal and properly authorised persons, will:</w:t>
      </w:r>
    </w:p>
    <w:p>
      <w:pPr>
        <w:widowControl/>
        <w:tabs>
          <w:tab w:pos="255" w:val="left"/>
        </w:tabs>
        <w:spacing w:after="80"/>
        <w:ind w:left="255" w:hanging="170"/>
      </w:pPr>
      <w:r>
        <w:t>•</w:t>
        <w:tab/>
        <w:t>Maintain provider and service approvals, comply with approval conditions and approved capacity, and ensure appropriate insurance arrangements and evidence of cover.</w:t>
      </w:r>
    </w:p>
    <w:p>
      <w:pPr>
        <w:widowControl/>
        <w:tabs>
          <w:tab w:pos="255" w:val="left"/>
        </w:tabs>
        <w:spacing w:after="80"/>
        <w:ind w:left="255" w:hanging="170"/>
      </w:pPr>
      <w:r>
        <w:t>•</w:t>
        <w:tab/>
        <w:t>Appoint suitable nominated supervisors, designate an educational leader in writing and ensure responsible-person coverage, qualifications, staffing and supervision requirements are met.</w:t>
      </w:r>
    </w:p>
    <w:p>
      <w:pPr>
        <w:widowControl/>
        <w:tabs>
          <w:tab w:pos="255" w:val="left"/>
        </w:tabs>
        <w:spacing w:after="80"/>
        <w:ind w:left="255" w:hanging="170"/>
      </w:pPr>
      <w:r>
        <w:t>•</w:t>
        <w:tab/>
        <w:t>Approve policies, financial delegations, budgets and significant operational decisions; provide resources for safe operation and required training.</w:t>
      </w:r>
    </w:p>
    <w:p>
      <w:pPr>
        <w:widowControl/>
        <w:tabs>
          <w:tab w:pos="255" w:val="left"/>
        </w:tabs>
        <w:spacing w:after="80"/>
        <w:ind w:left="255" w:hanging="170"/>
      </w:pPr>
      <w:r>
        <w:t>•</w:t>
        <w:tab/>
        <w:t>Maintain systems for risk management, notifications, workforce records, compliance monitoring and quality improvement. Record decisions and follow up outstanding actions.</w:t>
      </w:r>
    </w:p>
    <w:p>
      <w:r>
        <w:br w:type="page"/>
      </w:r>
    </w:p>
    <w:p>
      <w:pPr>
        <w:pStyle w:val="Heading1"/>
        <w:widowControl/>
      </w:pPr>
      <w:r>
        <w:t>Roles and daily accountability</w:t>
      </w:r>
    </w:p>
    <w:p>
      <w:pPr>
        <w:pStyle w:val="Heading2"/>
        <w:widowControl/>
      </w:pPr>
      <w:r>
        <w:t>Principal and persons with management or control</w:t>
      </w:r>
    </w:p>
    <w:p>
      <w:pPr>
        <w:widowControl/>
      </w:pPr>
      <w:r>
        <w:t>The principal coordinates School Council’s oversight of OSHC within the approved governance arrangements. Persons with management or control must understand and meet their own statutory obligations. School Council membership does not, by itself, authorise unrestricted access to children’s or staff records.</w:t>
      </w:r>
    </w:p>
    <w:p>
      <w:pPr>
        <w:widowControl/>
        <w:tabs>
          <w:tab w:pos="255" w:val="left"/>
        </w:tabs>
        <w:spacing w:after="80"/>
        <w:ind w:left="255" w:hanging="170"/>
      </w:pPr>
      <w:r>
        <w:t>•</w:t>
        <w:tab/>
        <w:t>Maintain a current register of appointments, written consents, delegations, authorised NQA ITS users and escalation contacts, including arrangements during leave or unexpected absence. Check that all persons with management or control have been correctly identified and notified.</w:t>
      </w:r>
    </w:p>
    <w:p>
      <w:pPr>
        <w:widowControl/>
        <w:tabs>
          <w:tab w:pos="255" w:val="left"/>
        </w:tabs>
        <w:spacing w:after="80"/>
        <w:ind w:left="255" w:hanging="170"/>
      </w:pPr>
      <w:r>
        <w:t>•</w:t>
        <w:tab/>
        <w:t>Oversee approval conditions, budget performance, staffing suitability, training compliance, significant risks and required reporting. Notify relevant changes to the regulator within the applicable timeframe.</w:t>
      </w:r>
    </w:p>
    <w:p>
      <w:pPr>
        <w:widowControl/>
        <w:tabs>
          <w:tab w:pos="255" w:val="left"/>
        </w:tabs>
        <w:spacing w:after="80"/>
        <w:ind w:left="255" w:hanging="170"/>
      </w:pPr>
      <w:r>
        <w:t>•</w:t>
        <w:tab/>
        <w:t>Provide School Council with appropriate reports on finances, safety and compliance, complaints, staffing and QIP progress. Protect personal information in those reports.</w:t>
      </w:r>
    </w:p>
    <w:p>
      <w:pPr>
        <w:pStyle w:val="Heading2"/>
        <w:widowControl/>
      </w:pPr>
      <w:r>
        <w:t>Nominated supervisor and coordinator</w:t>
      </w:r>
    </w:p>
    <w:p>
      <w:pPr>
        <w:widowControl/>
        <w:tabs>
          <w:tab w:pos="255" w:val="left"/>
        </w:tabs>
        <w:spacing w:after="80"/>
        <w:ind w:left="255" w:hanging="170"/>
      </w:pPr>
      <w:r>
        <w:t>•</w:t>
        <w:tab/>
        <w:t>Manage daily operations within their roles and delegations; implement policies, approved capacity, staffing ratios, supervision and safe arrival and collection procedures.</w:t>
      </w:r>
    </w:p>
    <w:p>
      <w:pPr>
        <w:widowControl/>
        <w:tabs>
          <w:tab w:pos="255" w:val="left"/>
        </w:tabs>
        <w:spacing w:after="80"/>
        <w:ind w:left="255" w:hanging="170"/>
      </w:pPr>
      <w:r>
        <w:t>•</w:t>
        <w:tab/>
        <w:t>Confirm the responsible person for each operating period, record changes and display the responsible person’s name and position as required.</w:t>
      </w:r>
    </w:p>
    <w:p>
      <w:pPr>
        <w:widowControl/>
        <w:tabs>
          <w:tab w:pos="255" w:val="left"/>
        </w:tabs>
        <w:spacing w:after="80"/>
        <w:ind w:left="255" w:hanging="170"/>
      </w:pPr>
      <w:r>
        <w:t>•</w:t>
        <w:tab/>
        <w:t>Induct and support staff, volunteers and students; check qualifications, clearances and training records and escalate any gap immediately.</w:t>
      </w:r>
    </w:p>
    <w:p>
      <w:pPr>
        <w:widowControl/>
        <w:tabs>
          <w:tab w:pos="255" w:val="left"/>
        </w:tabs>
        <w:spacing w:after="80"/>
        <w:ind w:left="255" w:hanging="170"/>
      </w:pPr>
      <w:r>
        <w:t>•</w:t>
        <w:tab/>
        <w:t>Respond to incidents and complaints, protect children, preserve records and notify the approved provider promptly. Assist authorised persons to meet regulatory reporting deadlines.</w:t>
      </w:r>
    </w:p>
    <w:p>
      <w:pPr>
        <w:widowControl/>
        <w:tabs>
          <w:tab w:pos="255" w:val="left"/>
        </w:tabs>
        <w:spacing w:after="80"/>
        <w:ind w:left="255" w:hanging="170"/>
      </w:pPr>
      <w:r>
        <w:t>•</w:t>
        <w:tab/>
        <w:t>Keep records accurate, secure and available as required, and communicate operational matters and improvement needs to the principal.</w:t>
      </w:r>
    </w:p>
    <w:p>
      <w:pPr>
        <w:pStyle w:val="Heading2"/>
        <w:widowControl/>
      </w:pPr>
      <w:r>
        <w:t>Educational leader</w:t>
      </w:r>
    </w:p>
    <w:p>
      <w:pPr>
        <w:widowControl/>
      </w:pPr>
      <w:r>
        <w:t>The educational leader leads the development and implementation of the school-age program, using MTOP V2.0 and the service philosophy. The approved provider provides time, resources and professional support for this role. The educational leader supports reflective practice, the assessment and planning cycle, and improvement in educators’ practice.</w:t>
      </w:r>
    </w:p>
    <w:p>
      <w:pPr>
        <w:pStyle w:val="Heading2"/>
        <w:widowControl/>
      </w:pPr>
      <w:r>
        <w:t>Educators and other staff</w:t>
      </w:r>
    </w:p>
    <w:p>
      <w:pPr>
        <w:widowControl/>
      </w:pPr>
      <w:r>
        <w:t>Staff must understand their responsibilities, follow service policies and the code of conduct, maintain required credentials, complete training and report risks or concerns immediately. They must not delegate duties beyond their authority. Volunteers and students receive role-specific induction and supervision and must follow the directions of the responsible person.</w:t>
      </w:r>
    </w:p>
    <w:p>
      <w:pPr>
        <w:pStyle w:val="Heading2"/>
        <w:widowControl/>
      </w:pPr>
      <w:r>
        <w:t>Delegation and absence</w:t>
      </w:r>
    </w:p>
    <w:p>
      <w:pPr>
        <w:widowControl/>
      </w:pPr>
      <w:r>
        <w:t>Delegations specify the task, limits of authority, reporting requirements and any completion date. The principal ensures a suitably authorised alternate can carry out urgent administration and notifications. If coverage or required staffing cannot be maintained, care must not continue in breach of the National Law, Regulations or service approval.</w:t>
      </w:r>
    </w:p>
    <w:p>
      <w:r>
        <w:br w:type="page"/>
      </w:r>
    </w:p>
    <w:p>
      <w:pPr>
        <w:pStyle w:val="Heading1"/>
        <w:widowControl/>
      </w:pPr>
      <w:r>
        <w:t>Staff suitability and mandatory training</w:t>
      </w:r>
    </w:p>
    <w:p>
      <w:pPr>
        <w:widowControl/>
      </w:pPr>
      <w:r>
        <w:t>Recruitment and induction must assess suitability to work in a child safe service. Identity, references, qualifications and required clearances are verified before commencement. The regulatory authority assesses fitness and propriety for provider approval and relevant management roles; staff recruitment and ongoing suitability checks remain the approved provider’s responsibility.</w:t>
      </w:r>
    </w:p>
    <w:p>
      <w:pPr>
        <w:widowControl/>
        <w:tabs>
          <w:tab w:pos="255" w:val="left"/>
        </w:tabs>
        <w:spacing w:after="80"/>
        <w:ind w:left="255" w:hanging="170"/>
      </w:pPr>
      <w:r>
        <w:t>•</w:t>
        <w:tab/>
        <w:t>Verify and record a current WWCC or permitted teacher-registration equivalent or exemption, as applicable to the role and Victorian law. Monitor expiry dates and status, including agency staff and relevant volunteers and students.</w:t>
      </w:r>
    </w:p>
    <w:p>
      <w:pPr>
        <w:widowControl/>
        <w:tabs>
          <w:tab w:pos="255" w:val="left"/>
        </w:tabs>
        <w:spacing w:after="80"/>
        <w:ind w:left="255" w:hanging="170"/>
      </w:pPr>
      <w:r>
        <w:t>•</w:t>
        <w:tab/>
        <w:t>Do not engage a person contrary to a prohibition notice or other regulatory restriction. Prevent child-related work when a required clearance is invalid, suspended, cancelled or otherwise does not permit that work.</w:t>
      </w:r>
    </w:p>
    <w:p>
      <w:pPr>
        <w:widowControl/>
        <w:tabs>
          <w:tab w:pos="255" w:val="left"/>
        </w:tabs>
        <w:spacing w:after="80"/>
        <w:ind w:left="255" w:hanging="170"/>
      </w:pPr>
      <w:r>
        <w:t>•</w:t>
        <w:tab/>
        <w:t>Require immediate internal disclosure of relevant clearance or registration changes. Meet the applicable 24-hour staff and provider notification obligations, including regulations 176B and 176C where they apply.</w:t>
      </w:r>
    </w:p>
    <w:p>
      <w:pPr>
        <w:widowControl/>
        <w:tabs>
          <w:tab w:pos="255" w:val="left"/>
        </w:tabs>
        <w:spacing w:after="80"/>
        <w:ind w:left="255" w:hanging="170"/>
      </w:pPr>
      <w:r>
        <w:t>•</w:t>
        <w:tab/>
        <w:t>Undertake additional police checks when required by applicable employment, approval or funding arrangements. A police check does not replace the required WWCC or other suitability checks.</w:t>
      </w:r>
    </w:p>
    <w:p>
      <w:pPr>
        <w:pStyle w:val="Heading2"/>
        <w:widowControl/>
      </w:pPr>
      <w:r>
        <w:t>National child safety training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89"/>
        <w:gridCol w:w="2381"/>
        <w:gridCol w:w="2494"/>
      </w:tblGrid>
      <w:tr>
        <w:trPr>
          <w:cantSplit/>
          <w:tblHeader/>
        </w:trPr>
        <w:tc>
          <w:tcPr>
            <w:tcW w:type="dxa" w:w="4989"/>
            <w:vAlign w:val="center"/>
            <w:tcMar>
              <w:top w:w="95" w:type="dxa"/>
              <w:left w:w="95" w:type="dxa"/>
              <w:bottom w:w="95" w:type="dxa"/>
              <w:right w:w="95" w:type="dxa"/>
            </w:tcMar>
            <w:shd w:fill="E7EEF0"/>
          </w:tcPr>
          <w:p>
            <w:pPr>
              <w:spacing w:after="40" w:before="40" w:line="240" w:lineRule="auto"/>
            </w:pPr>
            <w:r>
              <w:rPr>
                <w:b/>
                <w:color w:val="000000"/>
                <w:sz w:val="20"/>
              </w:rPr>
              <w:t>Role</w:t>
            </w:r>
          </w:p>
        </w:tc>
        <w:tc>
          <w:tcPr>
            <w:tcW w:type="dxa" w:w="2381"/>
            <w:vAlign w:val="center"/>
            <w:tcMar>
              <w:top w:w="95" w:type="dxa"/>
              <w:left w:w="95" w:type="dxa"/>
              <w:bottom w:w="95" w:type="dxa"/>
              <w:right w:w="95" w:type="dxa"/>
            </w:tcMar>
            <w:shd w:fill="E7EEF0"/>
          </w:tcPr>
          <w:p>
            <w:pPr>
              <w:spacing w:after="40" w:before="40" w:line="240" w:lineRule="auto"/>
            </w:pPr>
            <w:r>
              <w:rPr>
                <w:b/>
                <w:color w:val="000000"/>
                <w:sz w:val="20"/>
              </w:rPr>
              <w:t>Foundation courses</w:t>
            </w:r>
          </w:p>
        </w:tc>
        <w:tc>
          <w:tcPr>
            <w:tcW w:type="dxa" w:w="2494"/>
            <w:vAlign w:val="center"/>
            <w:tcMar>
              <w:top w:w="95" w:type="dxa"/>
              <w:left w:w="95" w:type="dxa"/>
              <w:bottom w:w="95" w:type="dxa"/>
              <w:right w:w="95" w:type="dxa"/>
            </w:tcMar>
            <w:shd w:fill="E7EEF0"/>
          </w:tcPr>
          <w:p>
            <w:pPr>
              <w:spacing w:after="40" w:before="40" w:line="240" w:lineRule="auto"/>
            </w:pPr>
            <w:r>
              <w:rPr>
                <w:b/>
                <w:color w:val="000000"/>
                <w:sz w:val="20"/>
              </w:rPr>
              <w:t>Advanced courses</w:t>
            </w:r>
          </w:p>
        </w:tc>
      </w:tr>
      <w:tr>
        <w:trPr>
          <w:cantSplit/>
        </w:trPr>
        <w:tc>
          <w:tcPr>
            <w:tcW w:type="dxa" w:w="4989"/>
            <w:vAlign w:val="center"/>
            <w:tcMar>
              <w:top w:w="95" w:type="dxa"/>
              <w:left w:w="95" w:type="dxa"/>
              <w:bottom w:w="95" w:type="dxa"/>
              <w:right w:w="95" w:type="dxa"/>
            </w:tcMar>
            <w:shd w:fill="FFFFFF"/>
          </w:tcPr>
          <w:p>
            <w:pPr>
              <w:spacing w:after="40" w:before="40" w:line="240" w:lineRule="auto"/>
            </w:pPr>
            <w:r>
              <w:rPr>
                <w:b w:val="0"/>
                <w:color w:val="000000"/>
                <w:sz w:val="20"/>
              </w:rPr>
              <w:t>Persons with management or control</w:t>
            </w:r>
          </w:p>
        </w:tc>
        <w:tc>
          <w:tcPr>
            <w:tcW w:type="dxa" w:w="2381"/>
            <w:vAlign w:val="center"/>
            <w:tcMar>
              <w:top w:w="95" w:type="dxa"/>
              <w:left w:w="95" w:type="dxa"/>
              <w:bottom w:w="95" w:type="dxa"/>
              <w:right w:w="95" w:type="dxa"/>
            </w:tcMar>
            <w:shd w:fill="FFFFFF"/>
          </w:tcPr>
          <w:p>
            <w:pPr>
              <w:spacing w:after="40" w:before="40" w:line="240" w:lineRule="auto"/>
            </w:pPr>
            <w:r>
              <w:rPr>
                <w:b w:val="0"/>
                <w:color w:val="000000"/>
                <w:sz w:val="20"/>
              </w:rPr>
              <w:t>1 and 2</w:t>
            </w:r>
          </w:p>
        </w:tc>
        <w:tc>
          <w:tcPr>
            <w:tcW w:type="dxa" w:w="2494"/>
            <w:vAlign w:val="center"/>
            <w:tcMar>
              <w:top w:w="95" w:type="dxa"/>
              <w:left w:w="95" w:type="dxa"/>
              <w:bottom w:w="95" w:type="dxa"/>
              <w:right w:w="95" w:type="dxa"/>
            </w:tcMar>
            <w:shd w:fill="FFFFFF"/>
          </w:tcPr>
          <w:p>
            <w:pPr>
              <w:spacing w:after="40" w:before="40" w:line="240" w:lineRule="auto"/>
            </w:pPr>
            <w:r>
              <w:rPr>
                <w:b w:val="0"/>
                <w:color w:val="000000"/>
                <w:sz w:val="20"/>
              </w:rPr>
              <w:t>5</w:t>
            </w:r>
          </w:p>
        </w:tc>
      </w:tr>
      <w:tr>
        <w:trPr>
          <w:cantSplit/>
        </w:trPr>
        <w:tc>
          <w:tcPr>
            <w:tcW w:type="dxa" w:w="4989"/>
            <w:vAlign w:val="center"/>
            <w:tcMar>
              <w:top w:w="95" w:type="dxa"/>
              <w:left w:w="95" w:type="dxa"/>
              <w:bottom w:w="95" w:type="dxa"/>
              <w:right w:w="95" w:type="dxa"/>
            </w:tcMar>
            <w:shd w:fill="FFFFFF"/>
          </w:tcPr>
          <w:p>
            <w:pPr>
              <w:spacing w:after="40" w:before="40" w:line="240" w:lineRule="auto"/>
            </w:pPr>
            <w:r>
              <w:rPr>
                <w:b w:val="0"/>
                <w:color w:val="000000"/>
                <w:sz w:val="20"/>
              </w:rPr>
              <w:t>Nominated supervisors and persons in day-to-day charge</w:t>
            </w:r>
          </w:p>
        </w:tc>
        <w:tc>
          <w:tcPr>
            <w:tcW w:type="dxa" w:w="2381"/>
            <w:vAlign w:val="center"/>
            <w:tcMar>
              <w:top w:w="95" w:type="dxa"/>
              <w:left w:w="95" w:type="dxa"/>
              <w:bottom w:w="95" w:type="dxa"/>
              <w:right w:w="95" w:type="dxa"/>
            </w:tcMar>
            <w:shd w:fill="FFFFFF"/>
          </w:tcPr>
          <w:p>
            <w:pPr>
              <w:spacing w:after="40" w:before="40" w:line="240" w:lineRule="auto"/>
            </w:pPr>
            <w:r>
              <w:rPr>
                <w:b w:val="0"/>
                <w:color w:val="000000"/>
                <w:sz w:val="20"/>
              </w:rPr>
              <w:t>1 and 2</w:t>
            </w:r>
          </w:p>
        </w:tc>
        <w:tc>
          <w:tcPr>
            <w:tcW w:type="dxa" w:w="2494"/>
            <w:vAlign w:val="center"/>
            <w:tcMar>
              <w:top w:w="95" w:type="dxa"/>
              <w:left w:w="95" w:type="dxa"/>
              <w:bottom w:w="95" w:type="dxa"/>
              <w:right w:w="95" w:type="dxa"/>
            </w:tcMar>
            <w:shd w:fill="FFFFFF"/>
          </w:tcPr>
          <w:p>
            <w:pPr>
              <w:spacing w:after="40" w:before="40" w:line="240" w:lineRule="auto"/>
            </w:pPr>
            <w:r>
              <w:rPr>
                <w:b w:val="0"/>
                <w:color w:val="000000"/>
                <w:sz w:val="20"/>
              </w:rPr>
              <w:t>3, 4 and 5</w:t>
            </w:r>
          </w:p>
        </w:tc>
      </w:tr>
      <w:tr>
        <w:trPr>
          <w:cantSplit/>
        </w:trPr>
        <w:tc>
          <w:tcPr>
            <w:tcW w:type="dxa" w:w="4989"/>
            <w:vAlign w:val="center"/>
            <w:tcMar>
              <w:top w:w="95" w:type="dxa"/>
              <w:left w:w="95" w:type="dxa"/>
              <w:bottom w:w="95" w:type="dxa"/>
              <w:right w:w="95" w:type="dxa"/>
            </w:tcMar>
            <w:shd w:fill="FFFFFF"/>
          </w:tcPr>
          <w:p>
            <w:pPr>
              <w:spacing w:after="40" w:before="40" w:line="240" w:lineRule="auto"/>
            </w:pPr>
            <w:r>
              <w:rPr>
                <w:b w:val="0"/>
                <w:color w:val="000000"/>
                <w:sz w:val="20"/>
              </w:rPr>
              <w:t>Service staff working directly with children</w:t>
            </w:r>
          </w:p>
        </w:tc>
        <w:tc>
          <w:tcPr>
            <w:tcW w:type="dxa" w:w="2381"/>
            <w:vAlign w:val="center"/>
            <w:tcMar>
              <w:top w:w="95" w:type="dxa"/>
              <w:left w:w="95" w:type="dxa"/>
              <w:bottom w:w="95" w:type="dxa"/>
              <w:right w:w="95" w:type="dxa"/>
            </w:tcMar>
            <w:shd w:fill="FFFFFF"/>
          </w:tcPr>
          <w:p>
            <w:pPr>
              <w:spacing w:after="40" w:before="40" w:line="240" w:lineRule="auto"/>
            </w:pPr>
            <w:r>
              <w:rPr>
                <w:b w:val="0"/>
                <w:color w:val="000000"/>
                <w:sz w:val="20"/>
              </w:rPr>
              <w:t>1 and 2</w:t>
            </w:r>
          </w:p>
        </w:tc>
        <w:tc>
          <w:tcPr>
            <w:tcW w:type="dxa" w:w="2494"/>
            <w:vAlign w:val="center"/>
            <w:tcMar>
              <w:top w:w="95" w:type="dxa"/>
              <w:left w:w="95" w:type="dxa"/>
              <w:bottom w:w="95" w:type="dxa"/>
              <w:right w:w="95" w:type="dxa"/>
            </w:tcMar>
            <w:shd w:fill="FFFFFF"/>
          </w:tcPr>
          <w:p>
            <w:pPr>
              <w:spacing w:after="40" w:before="40" w:line="240" w:lineRule="auto"/>
            </w:pPr>
            <w:r>
              <w:rPr>
                <w:b w:val="0"/>
                <w:color w:val="000000"/>
                <w:sz w:val="20"/>
              </w:rPr>
              <w:t>3 and 4</w:t>
            </w:r>
          </w:p>
        </w:tc>
      </w:tr>
      <w:tr>
        <w:trPr>
          <w:cantSplit/>
        </w:trPr>
        <w:tc>
          <w:tcPr>
            <w:tcW w:type="dxa" w:w="4989"/>
            <w:vAlign w:val="center"/>
            <w:tcMar>
              <w:top w:w="95" w:type="dxa"/>
              <w:left w:w="95" w:type="dxa"/>
              <w:bottom w:w="95" w:type="dxa"/>
              <w:right w:w="95" w:type="dxa"/>
            </w:tcMar>
            <w:shd w:fill="FFFFFF"/>
          </w:tcPr>
          <w:p>
            <w:pPr>
              <w:spacing w:after="40" w:before="40" w:line="240" w:lineRule="auto"/>
            </w:pPr>
            <w:r>
              <w:rPr>
                <w:b w:val="0"/>
                <w:color w:val="000000"/>
                <w:sz w:val="20"/>
              </w:rPr>
              <w:t>Service staff not working directly with children</w:t>
            </w:r>
          </w:p>
        </w:tc>
        <w:tc>
          <w:tcPr>
            <w:tcW w:type="dxa" w:w="2381"/>
            <w:vAlign w:val="center"/>
            <w:tcMar>
              <w:top w:w="95" w:type="dxa"/>
              <w:left w:w="95" w:type="dxa"/>
              <w:bottom w:w="95" w:type="dxa"/>
              <w:right w:w="95" w:type="dxa"/>
            </w:tcMar>
            <w:shd w:fill="FFFFFF"/>
          </w:tcPr>
          <w:p>
            <w:pPr>
              <w:spacing w:after="40" w:before="40" w:line="240" w:lineRule="auto"/>
            </w:pPr>
            <w:r>
              <w:rPr>
                <w:b w:val="0"/>
                <w:color w:val="000000"/>
                <w:sz w:val="20"/>
              </w:rPr>
              <w:t>1 and 2</w:t>
            </w:r>
          </w:p>
        </w:tc>
        <w:tc>
          <w:tcPr>
            <w:tcW w:type="dxa" w:w="2494"/>
            <w:vAlign w:val="center"/>
            <w:tcMar>
              <w:top w:w="95" w:type="dxa"/>
              <w:left w:w="95" w:type="dxa"/>
              <w:bottom w:w="95" w:type="dxa"/>
              <w:right w:w="95" w:type="dxa"/>
            </w:tcMar>
            <w:shd w:fill="FFFFFF"/>
          </w:tcPr>
          <w:p>
            <w:pPr>
              <w:spacing w:after="40" w:before="40" w:line="240" w:lineRule="auto"/>
            </w:pPr>
            <w:r>
              <w:rPr>
                <w:b w:val="0"/>
                <w:color w:val="000000"/>
                <w:sz w:val="20"/>
              </w:rPr>
              <w:t>None for that role</w:t>
            </w:r>
          </w:p>
        </w:tc>
      </w:tr>
      <w:tr>
        <w:trPr>
          <w:cantSplit/>
        </w:trPr>
        <w:tc>
          <w:tcPr>
            <w:tcW w:type="dxa" w:w="4989"/>
            <w:vAlign w:val="center"/>
            <w:tcMar>
              <w:top w:w="95" w:type="dxa"/>
              <w:left w:w="95" w:type="dxa"/>
              <w:bottom w:w="95" w:type="dxa"/>
              <w:right w:w="95" w:type="dxa"/>
            </w:tcMar>
            <w:shd w:fill="FFFFFF"/>
          </w:tcPr>
          <w:p>
            <w:pPr>
              <w:spacing w:after="40" w:before="40" w:line="240" w:lineRule="auto"/>
            </w:pPr>
            <w:r>
              <w:rPr>
                <w:b w:val="0"/>
                <w:color w:val="000000"/>
                <w:sz w:val="20"/>
              </w:rPr>
              <w:t>Relevant regular or semi-regular volunteers and approved qualification placement students</w:t>
            </w:r>
          </w:p>
        </w:tc>
        <w:tc>
          <w:tcPr>
            <w:tcW w:type="dxa" w:w="2381"/>
            <w:vAlign w:val="center"/>
            <w:tcMar>
              <w:top w:w="95" w:type="dxa"/>
              <w:left w:w="95" w:type="dxa"/>
              <w:bottom w:w="95" w:type="dxa"/>
              <w:right w:w="95" w:type="dxa"/>
            </w:tcMar>
            <w:shd w:fill="FFFFFF"/>
          </w:tcPr>
          <w:p>
            <w:pPr>
              <w:spacing w:after="40" w:before="40" w:line="240" w:lineRule="auto"/>
            </w:pPr>
            <w:r>
              <w:rPr>
                <w:b w:val="0"/>
                <w:color w:val="000000"/>
                <w:sz w:val="20"/>
              </w:rPr>
              <w:t>1 and 2</w:t>
            </w:r>
          </w:p>
        </w:tc>
        <w:tc>
          <w:tcPr>
            <w:tcW w:type="dxa" w:w="2494"/>
            <w:vAlign w:val="center"/>
            <w:tcMar>
              <w:top w:w="95" w:type="dxa"/>
              <w:left w:w="95" w:type="dxa"/>
              <w:bottom w:w="95" w:type="dxa"/>
              <w:right w:w="95" w:type="dxa"/>
            </w:tcMar>
            <w:shd w:fill="FFFFFF"/>
          </w:tcPr>
          <w:p>
            <w:pPr>
              <w:spacing w:after="40" w:before="40" w:line="240" w:lineRule="auto"/>
            </w:pPr>
            <w:r>
              <w:rPr>
                <w:b w:val="0"/>
                <w:color w:val="000000"/>
                <w:sz w:val="20"/>
              </w:rPr>
              <w:t>None for that role</w:t>
            </w:r>
          </w:p>
        </w:tc>
      </w:tr>
    </w:tbl>
    <w:p>
      <w:pPr>
        <w:widowControl/>
        <w:spacing w:after="0"/>
      </w:pPr>
    </w:p>
    <w:p>
      <w:pPr>
        <w:widowControl/>
      </w:pPr>
      <w:r>
        <w:t>Foundation training is completed before working directly with children or within 14 days of appointment, whichever is earlier. Relevant advanced training is due by 31 March 2027 for people in the relevant role with their current provider before 30 September 2026; those commencing on or after that date have three months. Required child safety training is refreshed every two years. Apply all requirements when a person holds multiple roles.</w:t>
      </w:r>
    </w:p>
    <w:p>
      <w:pPr>
        <w:pStyle w:val="Heading2"/>
        <w:widowControl/>
      </w:pPr>
      <w:r>
        <w:t>Victorian child protection training</w:t>
      </w:r>
    </w:p>
    <w:p>
      <w:pPr>
        <w:widowControl/>
      </w:pPr>
      <w:r>
        <w:t>Nominated supervisors, persons in day-to-day charge, and staff and volunteers working directly with children must complete the approved Victorian EC PROTECT module annually. New appointments complete it before working directly with children or within 14 days, whichever is earlier. For service staff and volunteers not working directly with children, apply Victoria’s approved foundation-training arrangements. Apply current legal exceptions for one-off volunteers and school work-experience students without reducing supervision or screening requirements.</w:t>
      </w:r>
    </w:p>
    <w:p>
      <w:pPr>
        <w:widowControl/>
      </w:pPr>
      <w:r>
        <w:t>The coordinator maintains a training register, certificates and renewal reminders. The principal verifies management-role training and provides time and resources. A person must not perform work for which required training is overdue. General school or induction training is not assumed to satisfy a prescribed OSHC course.</w:t>
      </w:r>
    </w:p>
    <w:p>
      <w:r>
        <w:br w:type="page"/>
      </w:r>
    </w:p>
    <w:p>
      <w:pPr>
        <w:pStyle w:val="Heading1"/>
        <w:widowControl/>
      </w:pPr>
      <w:r>
        <w:t>Notifications and responding to concerns</w:t>
      </w:r>
    </w:p>
    <w:p>
      <w:pPr>
        <w:widowControl/>
      </w:pPr>
      <w:r>
        <w:t>Anyone identifying a concern must first protect the child, obtain urgent assistance where necessary, and immediately inform the responsible person and principal. Staff must not wait for an internal investigation or approval before making a report they are legally required to make. Reporting to the school does not replace reporting to external authorities.</w:t>
      </w:r>
    </w:p>
    <w:p>
      <w:pPr>
        <w:widowControl/>
      </w:pPr>
      <w:r>
        <w:t>The principal, or a documented authorised alternate, coordinates required VECRA notifications through NQA ITS or another accepted method. The approved provider retains legal responsibility. Keep a notification register showing when the event occurred or became known, the legal deadline, action taken, submission confirmation and follow-up.</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139"/>
        <w:gridCol w:w="5726"/>
      </w:tblGrid>
      <w:tr>
        <w:trPr>
          <w:cantSplit/>
          <w:tblHeader/>
        </w:trPr>
        <w:tc>
          <w:tcPr>
            <w:tcW w:type="dxa" w:w="4139"/>
            <w:vAlign w:val="center"/>
            <w:tcMar>
              <w:top w:w="95" w:type="dxa"/>
              <w:left w:w="95" w:type="dxa"/>
              <w:bottom w:w="95" w:type="dxa"/>
              <w:right w:w="95" w:type="dxa"/>
            </w:tcMar>
            <w:shd w:fill="E7EEF0"/>
          </w:tcPr>
          <w:p>
            <w:pPr>
              <w:spacing w:after="40" w:before="40" w:line="240" w:lineRule="auto"/>
            </w:pPr>
            <w:r>
              <w:rPr>
                <w:b/>
                <w:color w:val="000000"/>
                <w:sz w:val="20"/>
              </w:rPr>
              <w:t>Matter</w:t>
            </w:r>
          </w:p>
        </w:tc>
        <w:tc>
          <w:tcPr>
            <w:tcW w:type="dxa" w:w="5726"/>
            <w:vAlign w:val="center"/>
            <w:tcMar>
              <w:top w:w="95" w:type="dxa"/>
              <w:left w:w="95" w:type="dxa"/>
              <w:bottom w:w="95" w:type="dxa"/>
              <w:right w:w="95" w:type="dxa"/>
            </w:tcMar>
            <w:shd w:fill="E7EEF0"/>
          </w:tcPr>
          <w:p>
            <w:pPr>
              <w:spacing w:after="40" w:before="40" w:line="240" w:lineRule="auto"/>
            </w:pPr>
            <w:r>
              <w:rPr>
                <w:b/>
                <w:color w:val="000000"/>
                <w:sz w:val="20"/>
              </w:rPr>
              <w:t>Key notification requirement</w:t>
            </w:r>
          </w:p>
        </w:tc>
      </w:tr>
      <w:tr>
        <w:trPr>
          <w:cantSplit/>
        </w:trPr>
        <w:tc>
          <w:tcPr>
            <w:tcW w:type="dxa" w:w="4139"/>
            <w:vAlign w:val="center"/>
            <w:tcMar>
              <w:top w:w="95" w:type="dxa"/>
              <w:left w:w="95" w:type="dxa"/>
              <w:bottom w:w="95" w:type="dxa"/>
              <w:right w:w="95" w:type="dxa"/>
            </w:tcMar>
            <w:shd w:fill="FFFFFF"/>
          </w:tcPr>
          <w:p>
            <w:pPr>
              <w:spacing w:after="40" w:before="40" w:line="240" w:lineRule="auto"/>
            </w:pPr>
            <w:r>
              <w:rPr>
                <w:b w:val="0"/>
                <w:color w:val="000000"/>
                <w:sz w:val="20"/>
              </w:rPr>
              <w:t>Death of a child connected with care</w:t>
            </w:r>
          </w:p>
        </w:tc>
        <w:tc>
          <w:tcPr>
            <w:tcW w:type="dxa" w:w="5726"/>
            <w:vAlign w:val="center"/>
            <w:tcMar>
              <w:top w:w="95" w:type="dxa"/>
              <w:left w:w="95" w:type="dxa"/>
              <w:bottom w:w="95" w:type="dxa"/>
              <w:right w:w="95" w:type="dxa"/>
            </w:tcMar>
            <w:shd w:fill="FFFFFF"/>
          </w:tcPr>
          <w:p>
            <w:pPr>
              <w:spacing w:after="40" w:before="40" w:line="240" w:lineRule="auto"/>
            </w:pPr>
            <w:r>
              <w:rPr>
                <w:b w:val="0"/>
                <w:color w:val="000000"/>
                <w:sz w:val="20"/>
              </w:rPr>
              <w:t>Notify VECRA as soon as practicable and within 24 hours.</w:t>
            </w:r>
          </w:p>
        </w:tc>
      </w:tr>
      <w:tr>
        <w:trPr>
          <w:cantSplit/>
        </w:trPr>
        <w:tc>
          <w:tcPr>
            <w:tcW w:type="dxa" w:w="4139"/>
            <w:vAlign w:val="center"/>
            <w:tcMar>
              <w:top w:w="95" w:type="dxa"/>
              <w:left w:w="95" w:type="dxa"/>
              <w:bottom w:w="95" w:type="dxa"/>
              <w:right w:w="95" w:type="dxa"/>
            </w:tcMar>
            <w:shd w:fill="FFFFFF"/>
          </w:tcPr>
          <w:p>
            <w:pPr>
              <w:spacing w:after="40" w:before="40" w:line="240" w:lineRule="auto"/>
            </w:pPr>
            <w:r>
              <w:rPr>
                <w:b w:val="0"/>
                <w:color w:val="000000"/>
                <w:sz w:val="20"/>
              </w:rPr>
              <w:t>Other serious incidents</w:t>
            </w:r>
          </w:p>
        </w:tc>
        <w:tc>
          <w:tcPr>
            <w:tcW w:type="dxa" w:w="5726"/>
            <w:vAlign w:val="center"/>
            <w:tcMar>
              <w:top w:w="95" w:type="dxa"/>
              <w:left w:w="95" w:type="dxa"/>
              <w:bottom w:w="95" w:type="dxa"/>
              <w:right w:w="95" w:type="dxa"/>
            </w:tcMar>
            <w:shd w:fill="FFFFFF"/>
          </w:tcPr>
          <w:p>
            <w:pPr>
              <w:spacing w:after="40" w:before="40" w:line="240" w:lineRule="auto"/>
            </w:pPr>
            <w:r>
              <w:rPr>
                <w:b w:val="0"/>
                <w:color w:val="000000"/>
                <w:sz w:val="20"/>
              </w:rPr>
              <w:t>Notify VECRA within the applicable 24-hour period under the National Law and Regulations.</w:t>
            </w:r>
          </w:p>
        </w:tc>
      </w:tr>
      <w:tr>
        <w:trPr>
          <w:cantSplit/>
        </w:trPr>
        <w:tc>
          <w:tcPr>
            <w:tcW w:type="dxa" w:w="4139"/>
            <w:vAlign w:val="center"/>
            <w:tcMar>
              <w:top w:w="95" w:type="dxa"/>
              <w:left w:w="95" w:type="dxa"/>
              <w:bottom w:w="95" w:type="dxa"/>
              <w:right w:w="95" w:type="dxa"/>
            </w:tcMar>
            <w:shd w:fill="FFFFFF"/>
          </w:tcPr>
          <w:p>
            <w:pPr>
              <w:spacing w:after="40" w:before="40" w:line="240" w:lineRule="auto"/>
            </w:pPr>
            <w:r>
              <w:rPr>
                <w:b w:val="0"/>
                <w:color w:val="000000"/>
                <w:sz w:val="20"/>
              </w:rPr>
              <w:t>Complaint alleging a serious incident or contravention of the National Law</w:t>
            </w:r>
          </w:p>
        </w:tc>
        <w:tc>
          <w:tcPr>
            <w:tcW w:type="dxa" w:w="5726"/>
            <w:vAlign w:val="center"/>
            <w:tcMar>
              <w:top w:w="95" w:type="dxa"/>
              <w:left w:w="95" w:type="dxa"/>
              <w:bottom w:w="95" w:type="dxa"/>
              <w:right w:w="95" w:type="dxa"/>
            </w:tcMar>
            <w:shd w:fill="FFFFFF"/>
          </w:tcPr>
          <w:p>
            <w:pPr>
              <w:spacing w:after="40" w:before="40" w:line="240" w:lineRule="auto"/>
            </w:pPr>
            <w:r>
              <w:rPr>
                <w:b w:val="0"/>
                <w:color w:val="000000"/>
                <w:sz w:val="20"/>
              </w:rPr>
              <w:t>Notify VECRA within 24 hours of the complaint.</w:t>
            </w:r>
          </w:p>
        </w:tc>
      </w:tr>
      <w:tr>
        <w:trPr>
          <w:cantSplit/>
        </w:trPr>
        <w:tc>
          <w:tcPr>
            <w:tcW w:type="dxa" w:w="4139"/>
            <w:vAlign w:val="center"/>
            <w:tcMar>
              <w:top w:w="95" w:type="dxa"/>
              <w:left w:w="95" w:type="dxa"/>
              <w:bottom w:w="95" w:type="dxa"/>
              <w:right w:w="95" w:type="dxa"/>
            </w:tcMar>
            <w:shd w:fill="FFFFFF"/>
          </w:tcPr>
          <w:p>
            <w:pPr>
              <w:spacing w:after="40" w:before="40" w:line="240" w:lineRule="auto"/>
            </w:pPr>
            <w:r>
              <w:rPr>
                <w:b w:val="0"/>
                <w:color w:val="000000"/>
                <w:sz w:val="20"/>
              </w:rPr>
              <w:t>Incident or allegation of physical or sexual abuse while a child is in care</w:t>
            </w:r>
          </w:p>
        </w:tc>
        <w:tc>
          <w:tcPr>
            <w:tcW w:type="dxa" w:w="5726"/>
            <w:vAlign w:val="center"/>
            <w:tcMar>
              <w:top w:w="95" w:type="dxa"/>
              <w:left w:w="95" w:type="dxa"/>
              <w:bottom w:w="95" w:type="dxa"/>
              <w:right w:w="95" w:type="dxa"/>
            </w:tcMar>
            <w:shd w:fill="FFFFFF"/>
          </w:tcPr>
          <w:p>
            <w:pPr>
              <w:spacing w:after="40" w:before="40" w:line="240" w:lineRule="auto"/>
            </w:pPr>
            <w:r>
              <w:rPr>
                <w:b w:val="0"/>
                <w:color w:val="000000"/>
                <w:sz w:val="20"/>
              </w:rPr>
              <w:t>Notify VECRA within 24 hours of the incident or allegation, or becoming aware, as applicable.</w:t>
            </w:r>
          </w:p>
        </w:tc>
      </w:tr>
      <w:tr>
        <w:trPr>
          <w:cantSplit/>
        </w:trPr>
        <w:tc>
          <w:tcPr>
            <w:tcW w:type="dxa" w:w="4139"/>
            <w:vAlign w:val="center"/>
            <w:tcMar>
              <w:top w:w="95" w:type="dxa"/>
              <w:left w:w="95" w:type="dxa"/>
              <w:bottom w:w="95" w:type="dxa"/>
              <w:right w:w="95" w:type="dxa"/>
            </w:tcMar>
            <w:shd w:fill="FFFFFF"/>
          </w:tcPr>
          <w:p>
            <w:pPr>
              <w:spacing w:after="40" w:before="40" w:line="240" w:lineRule="auto"/>
            </w:pPr>
            <w:r>
              <w:rPr>
                <w:b w:val="0"/>
                <w:color w:val="000000"/>
                <w:sz w:val="20"/>
              </w:rPr>
              <w:t>Victorian staff sexual offence or sexual misconduct notification</w:t>
            </w:r>
          </w:p>
        </w:tc>
        <w:tc>
          <w:tcPr>
            <w:tcW w:type="dxa" w:w="5726"/>
            <w:vAlign w:val="center"/>
            <w:tcMar>
              <w:top w:w="95" w:type="dxa"/>
              <w:left w:w="95" w:type="dxa"/>
              <w:bottom w:w="95" w:type="dxa"/>
              <w:right w:w="95" w:type="dxa"/>
            </w:tcMar>
            <w:shd w:fill="FFFFFF"/>
          </w:tcPr>
          <w:p>
            <w:pPr>
              <w:spacing w:after="40" w:before="40" w:line="240" w:lineRule="auto"/>
            </w:pPr>
            <w:r>
              <w:rPr>
                <w:b w:val="0"/>
                <w:color w:val="000000"/>
                <w:sz w:val="20"/>
              </w:rPr>
              <w:t>Meet section 174B, including notification within 24 hours of becoming aware where the provision applies.</w:t>
            </w:r>
          </w:p>
        </w:tc>
      </w:tr>
      <w:tr>
        <w:trPr>
          <w:cantSplit/>
        </w:trPr>
        <w:tc>
          <w:tcPr>
            <w:tcW w:type="dxa" w:w="4139"/>
            <w:vAlign w:val="center"/>
            <w:tcMar>
              <w:top w:w="95" w:type="dxa"/>
              <w:left w:w="95" w:type="dxa"/>
              <w:bottom w:w="95" w:type="dxa"/>
              <w:right w:w="95" w:type="dxa"/>
            </w:tcMar>
            <w:shd w:fill="FFFFFF"/>
          </w:tcPr>
          <w:p>
            <w:pPr>
              <w:spacing w:after="40" w:before="40" w:line="240" w:lineRule="auto"/>
            </w:pPr>
            <w:r>
              <w:rPr>
                <w:b w:val="0"/>
                <w:color w:val="000000"/>
                <w:sz w:val="20"/>
              </w:rPr>
              <w:t>Relevant WWCC or teacher-registration status change</w:t>
            </w:r>
          </w:p>
        </w:tc>
        <w:tc>
          <w:tcPr>
            <w:tcW w:type="dxa" w:w="5726"/>
            <w:vAlign w:val="center"/>
            <w:tcMar>
              <w:top w:w="95" w:type="dxa"/>
              <w:left w:w="95" w:type="dxa"/>
              <w:bottom w:w="95" w:type="dxa"/>
              <w:right w:w="95" w:type="dxa"/>
            </w:tcMar>
            <w:shd w:fill="FFFFFF"/>
          </w:tcPr>
          <w:p>
            <w:pPr>
              <w:spacing w:after="40" w:before="40" w:line="240" w:lineRule="auto"/>
            </w:pPr>
            <w:r>
              <w:rPr>
                <w:b w:val="0"/>
                <w:color w:val="000000"/>
                <w:sz w:val="20"/>
              </w:rPr>
              <w:t>Notify VECRA within 24 hours of awareness under regulation 176C where applicable; apply any overlapping statutory requirements.</w:t>
            </w:r>
          </w:p>
        </w:tc>
      </w:tr>
      <w:tr>
        <w:trPr>
          <w:cantSplit/>
        </w:trPr>
        <w:tc>
          <w:tcPr>
            <w:tcW w:type="dxa" w:w="4139"/>
            <w:vAlign w:val="center"/>
            <w:tcMar>
              <w:top w:w="95" w:type="dxa"/>
              <w:left w:w="95" w:type="dxa"/>
              <w:bottom w:w="95" w:type="dxa"/>
              <w:right w:w="95" w:type="dxa"/>
            </w:tcMar>
            <w:shd w:fill="FFFFFF"/>
          </w:tcPr>
          <w:p>
            <w:pPr>
              <w:spacing w:after="40" w:before="40" w:line="240" w:lineRule="auto"/>
            </w:pPr>
            <w:r>
              <w:rPr>
                <w:b w:val="0"/>
                <w:color w:val="000000"/>
                <w:sz w:val="20"/>
              </w:rPr>
              <w:t>Other circumstance posing a risk to children</w:t>
            </w:r>
          </w:p>
        </w:tc>
        <w:tc>
          <w:tcPr>
            <w:tcW w:type="dxa" w:w="5726"/>
            <w:vAlign w:val="center"/>
            <w:tcMar>
              <w:top w:w="95" w:type="dxa"/>
              <w:left w:w="95" w:type="dxa"/>
              <w:bottom w:w="95" w:type="dxa"/>
              <w:right w:w="95" w:type="dxa"/>
            </w:tcMar>
            <w:shd w:fill="FFFFFF"/>
          </w:tcPr>
          <w:p>
            <w:pPr>
              <w:spacing w:after="40" w:before="40" w:line="240" w:lineRule="auto"/>
            </w:pPr>
            <w:r>
              <w:rPr>
                <w:b w:val="0"/>
                <w:color w:val="000000"/>
                <w:sz w:val="20"/>
              </w:rPr>
              <w:t>Notify VECRA within seven days, unless a separate shorter reporting obligation applies.</w:t>
            </w:r>
          </w:p>
        </w:tc>
      </w:tr>
      <w:tr>
        <w:trPr>
          <w:cantSplit/>
        </w:trPr>
        <w:tc>
          <w:tcPr>
            <w:tcW w:type="dxa" w:w="4139"/>
            <w:vAlign w:val="center"/>
            <w:tcMar>
              <w:top w:w="95" w:type="dxa"/>
              <w:left w:w="95" w:type="dxa"/>
              <w:bottom w:w="95" w:type="dxa"/>
              <w:right w:w="95" w:type="dxa"/>
            </w:tcMar>
            <w:shd w:fill="FFFFFF"/>
          </w:tcPr>
          <w:p>
            <w:pPr>
              <w:spacing w:after="40" w:before="40" w:line="240" w:lineRule="auto"/>
            </w:pPr>
            <w:r>
              <w:rPr>
                <w:b w:val="0"/>
                <w:color w:val="000000"/>
                <w:sz w:val="20"/>
              </w:rPr>
              <w:t>Provider, management, supervisor, premises or operational changes</w:t>
            </w:r>
          </w:p>
        </w:tc>
        <w:tc>
          <w:tcPr>
            <w:tcW w:type="dxa" w:w="5726"/>
            <w:vAlign w:val="center"/>
            <w:tcMar>
              <w:top w:w="95" w:type="dxa"/>
              <w:left w:w="95" w:type="dxa"/>
              <w:bottom w:w="95" w:type="dxa"/>
              <w:right w:w="95" w:type="dxa"/>
            </w:tcMar>
            <w:shd w:fill="FFFFFF"/>
          </w:tcPr>
          <w:p>
            <w:pPr>
              <w:spacing w:after="40" w:before="40" w:line="240" w:lineRule="auto"/>
            </w:pPr>
            <w:r>
              <w:rPr>
                <w:b w:val="0"/>
                <w:color w:val="000000"/>
                <w:sz w:val="20"/>
              </w:rPr>
              <w:t>Apply the event-specific deadline in the current law and ACECQA notification schedule. Record the deadline before making the change where advance notice is required.</w:t>
            </w:r>
          </w:p>
        </w:tc>
      </w:tr>
    </w:tbl>
    <w:p>
      <w:pPr>
        <w:widowControl/>
        <w:spacing w:after="0"/>
      </w:pPr>
    </w:p>
    <w:p>
      <w:pPr>
        <w:pStyle w:val="Heading2"/>
        <w:widowControl/>
      </w:pPr>
      <w:r>
        <w:t>Separate child protection and conduct obligations</w:t>
      </w:r>
    </w:p>
    <w:p>
      <w:pPr>
        <w:widowControl/>
      </w:pPr>
      <w:r>
        <w:t>Apply the service’s child safety and reporting procedures, the Victorian Child Safe Standards, mandatory reporting and failure-to-disclose or failure-to-protect obligations. Notify Victoria Police, DFFH Child Protection and the Social Services Regulator under the Reportable Conduct Scheme where required. For school-operated arrangements, the principal follows the Department’s reporting procedures and ensures the legally responsible head of organisation receives relevant allegations. These reports do not replace VECRA notifications.</w:t>
      </w:r>
    </w:p>
    <w:p>
      <w:pPr>
        <w:widowControl/>
      </w:pPr>
      <w:r>
        <w:t>If a concern involves the coordinator or nominated supervisor, report directly to the principal. If it involves the principal, escalate to the School Council President and the appropriate Department authority. Anyone may report directly to VECRA or relevant protection authorities. Conflicts, absence or concern about reputation must not delay protection or reporting.</w:t>
      </w:r>
    </w:p>
    <w:p>
      <w:r>
        <w:br w:type="page"/>
      </w:r>
    </w:p>
    <w:p>
      <w:pPr>
        <w:pStyle w:val="Heading1"/>
        <w:widowControl/>
      </w:pPr>
      <w:r>
        <w:t>Child safety and risk management</w:t>
      </w:r>
    </w:p>
    <w:p>
      <w:pPr>
        <w:widowControl/>
      </w:pPr>
      <w:r>
        <w:t>The approved provider oversees a child safe culture in which children can raise concerns and staff challenge unsafe practice. Risk assessment must consider the safety, rights and best interests of children, including children with disability, Aboriginal children and children from diverse cultural and linguistic backgrounds.</w:t>
      </w:r>
    </w:p>
    <w:p>
      <w:pPr>
        <w:widowControl/>
        <w:tabs>
          <w:tab w:pos="255" w:val="left"/>
        </w:tabs>
        <w:spacing w:after="80"/>
        <w:ind w:left="255" w:hanging="170"/>
      </w:pPr>
      <w:r>
        <w:t>•</w:t>
        <w:tab/>
        <w:t>Maintain a risk register identifying the risk, controls, responsible person, review date and actions. Review controls after incidents, complaints, changes to children’s needs, staffing, activities or premises, and whenever they are ineffective.</w:t>
      </w:r>
    </w:p>
    <w:p>
      <w:pPr>
        <w:widowControl/>
        <w:tabs>
          <w:tab w:pos="255" w:val="left"/>
        </w:tabs>
        <w:spacing w:after="80"/>
        <w:ind w:left="255" w:hanging="170"/>
      </w:pPr>
      <w:r>
        <w:t>•</w:t>
        <w:tab/>
        <w:t>Address supervision, arrival from school, collection, missing children, excursions, transportation where relevant, medical needs, emergencies, premises security, digital safety and inappropriate adult conduct.</w:t>
      </w:r>
    </w:p>
    <w:p>
      <w:pPr>
        <w:widowControl/>
        <w:tabs>
          <w:tab w:pos="255" w:val="left"/>
        </w:tabs>
        <w:spacing w:after="80"/>
        <w:ind w:left="255" w:hanging="170"/>
      </w:pPr>
      <w:r>
        <w:t>•</w:t>
        <w:tab/>
        <w:t>Ensure the service environment and activities meet applicable safety requirements, including restrictions on tobacco, vaping substances and devices, alcohol and illicit drugs. Review facilities, equipment and supervision arrangements before changes are introduced.</w:t>
      </w:r>
    </w:p>
    <w:p>
      <w:pPr>
        <w:widowControl/>
        <w:tabs>
          <w:tab w:pos="255" w:val="left"/>
        </w:tabs>
        <w:spacing w:after="80"/>
        <w:ind w:left="255" w:hanging="170"/>
      </w:pPr>
      <w:r>
        <w:t>•</w:t>
        <w:tab/>
        <w:t>Apply a child safety code of conduct with professional boundaries and clear responses to grooming, abuse, neglect, discrimination and inappropriate conduct. Respond to concerns even when they do not meet a criminal threshold.</w:t>
      </w:r>
    </w:p>
    <w:p>
      <w:pPr>
        <w:pStyle w:val="Heading2"/>
        <w:widowControl/>
      </w:pPr>
      <w:r>
        <w:t>Digital technologies and children’s images</w:t>
      </w:r>
    </w:p>
    <w:p>
      <w:pPr>
        <w:widowControl/>
      </w:pPr>
      <w:r>
        <w:t>The service must maintain policies and procedures for the safe use of digital technologies and online environments under regulation 168(2)(ha). They cover children’s images and videos, parental authorisations, collection, use, access, storage and destruction, CCTV or other optical surveillance, service-supplied devices and children’s device use.</w:t>
      </w:r>
    </w:p>
    <w:p>
      <w:pPr>
        <w:widowControl/>
      </w:pPr>
      <w:r>
        <w:t>For this centre-based OSHC service:</w:t>
      </w:r>
    </w:p>
    <w:p>
      <w:pPr>
        <w:widowControl/>
        <w:tabs>
          <w:tab w:pos="255" w:val="left"/>
        </w:tabs>
        <w:spacing w:after="80"/>
        <w:ind w:left="255" w:hanging="170"/>
      </w:pPr>
      <w:r>
        <w:t>•</w:t>
        <w:tab/>
        <w:t>Staff and volunteers, including placement students, must not use or possess personal devices capable of capturing, storing or transmitting images while working directly with children, except as lawfully permitted. The device-use definition of working directly with children must be applied.</w:t>
      </w:r>
    </w:p>
    <w:p>
      <w:pPr>
        <w:widowControl/>
        <w:tabs>
          <w:tab w:pos="255" w:val="left"/>
        </w:tabs>
        <w:spacing w:after="80"/>
        <w:ind w:left="255" w:hanging="170"/>
      </w:pPr>
      <w:r>
        <w:t>•</w:t>
        <w:tab/>
        <w:t>Use only service-supplied devices for capturing, storing or transmitting children’s images for service purposes. These devices are exclusively for education and care and must not be used for personal purposes or personal accounts.</w:t>
      </w:r>
    </w:p>
    <w:p>
      <w:pPr>
        <w:widowControl/>
        <w:tabs>
          <w:tab w:pos="255" w:val="left"/>
        </w:tabs>
        <w:spacing w:after="80"/>
        <w:ind w:left="255" w:hanging="170"/>
      </w:pPr>
      <w:r>
        <w:t>•</w:t>
        <w:tab/>
        <w:t>Personal-device exceptions are limited to those permitted by law. Obtain approved-provider written authorisation where required, recording the person, role, device, purpose and period. Where prior authorisation is impracticable, make the required record afterwards. Retain authorisation records for at least three years.</w:t>
      </w:r>
    </w:p>
    <w:p>
      <w:pPr>
        <w:widowControl/>
        <w:tabs>
          <w:tab w:pos="255" w:val="left"/>
        </w:tabs>
        <w:spacing w:after="80"/>
        <w:ind w:left="255" w:hanging="170"/>
      </w:pPr>
      <w:r>
        <w:t>•</w:t>
        <w:tab/>
        <w:t>An exception does not permit a personal device to capture, store or transmit children’s images for service purposes. Configure service devices securely, restrict access and maintain an inventory. Authorised installed CCTV is managed under its applicable legal and policy arrangements.</w:t>
      </w:r>
    </w:p>
    <w:p>
      <w:pPr>
        <w:widowControl/>
      </w:pPr>
      <w:r>
        <w:t>The coordinator explains these requirements at induction, arranges secure storage for personal devices and reports breaches immediately. Any school-owned equipment used by OSHC must meet the service-supplied-device requirements; ownership by the school alone is not sufficient.</w:t>
      </w:r>
    </w:p>
    <w:p>
      <w:r>
        <w:br w:type="page"/>
      </w:r>
    </w:p>
    <w:p>
      <w:pPr>
        <w:pStyle w:val="Heading1"/>
        <w:widowControl/>
      </w:pPr>
      <w:r>
        <w:t>Confidentiality and access to information</w:t>
      </w:r>
    </w:p>
    <w:p>
      <w:pPr>
        <w:widowControl/>
      </w:pPr>
      <w:r>
        <w:t>Information is accessed only by authorised people for a lawful purpose. Confidentiality obligations apply during and after employment, volunteering or School Council membership. The following activities are prohibited:</w:t>
      </w:r>
    </w:p>
    <w:p>
      <w:pPr>
        <w:widowControl/>
        <w:tabs>
          <w:tab w:pos="255" w:val="left"/>
        </w:tabs>
        <w:spacing w:after="80"/>
        <w:ind w:left="255" w:hanging="170"/>
      </w:pPr>
      <w:r>
        <w:t>•</w:t>
        <w:tab/>
        <w:t>Using confidential information for personal or financial benefit, or for the unauthorised benefit of another person.</w:t>
      </w:r>
    </w:p>
    <w:p>
      <w:pPr>
        <w:widowControl/>
        <w:tabs>
          <w:tab w:pos="255" w:val="left"/>
        </w:tabs>
        <w:spacing w:after="80"/>
        <w:ind w:left="255" w:hanging="170"/>
      </w:pPr>
      <w:r>
        <w:t>•</w:t>
        <w:tab/>
        <w:t>Allowing unauthorised access to records, discussions, meeting papers, devices, accounts or correspondence.</w:t>
      </w:r>
    </w:p>
    <w:p>
      <w:pPr>
        <w:widowControl/>
        <w:tabs>
          <w:tab w:pos="255" w:val="left"/>
        </w:tabs>
        <w:spacing w:after="80"/>
        <w:ind w:left="255" w:hanging="170"/>
      </w:pPr>
      <w:r>
        <w:t>•</w:t>
        <w:tab/>
        <w:t>Sharing confidential information through personal email, messaging accounts or unapproved storage systems.</w:t>
      </w:r>
    </w:p>
    <w:p>
      <w:pPr>
        <w:widowControl/>
      </w:pPr>
      <w:r>
        <w:t>Under regulation 181, information in prescribed records may be disclosed only in permitted circumstances: to the extent necessary for the child’s education, care or medical treatment; to a parent of that child, except information in a staff record and subject to applicable limits; to the regulator or an authorised officer; as authorised, permitted or required by law; or with the written consent of the person who provided the information. Protect other people’s information when responding to access requests.</w:t>
      </w:r>
    </w:p>
    <w:p>
      <w:pPr>
        <w:widowControl/>
      </w:pPr>
      <w:r>
        <w:t>Confidentiality must not prevent lawful child protection reporting, information sharing or cooperation with investigations. Apply the Privacy and Data Protection Act 2014 (Vic), Health Records Act 2001 (Vic) and relevant Department privacy and information-sharing requirements. Refer access or disclosure uncertainty to the principal without delaying a legally required report.</w:t>
      </w:r>
    </w:p>
    <w:p>
      <w:pPr>
        <w:pStyle w:val="Heading2"/>
        <w:widowControl/>
      </w:pPr>
      <w:r>
        <w:t>Records and retention</w:t>
      </w:r>
    </w:p>
    <w:p>
      <w:pPr>
        <w:widowControl/>
      </w:pPr>
      <w:r>
        <w:t>The approved provider ensures prescribed records are accurate, stored securely and available to authorised officers. The coordinator maintains operational records; the principal oversees secure retention, access and disposal. Use locked physical storage and approved electronic systems with role-based access, secure accounts and backup arrangements.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252"/>
        <w:gridCol w:w="5613"/>
      </w:tblGrid>
      <w:tr>
        <w:trPr>
          <w:cantSplit/>
          <w:tblHeader/>
        </w:trPr>
        <w:tc>
          <w:tcPr>
            <w:tcW w:type="dxa" w:w="4252"/>
            <w:vAlign w:val="center"/>
            <w:tcMar>
              <w:top w:w="95" w:type="dxa"/>
              <w:left w:w="95" w:type="dxa"/>
              <w:bottom w:w="95" w:type="dxa"/>
              <w:right w:w="95" w:type="dxa"/>
            </w:tcMar>
            <w:shd w:fill="E7EEF0"/>
          </w:tcPr>
          <w:p>
            <w:pPr>
              <w:spacing w:after="40" w:before="40" w:line="240" w:lineRule="auto"/>
            </w:pPr>
            <w:r>
              <w:rPr>
                <w:b/>
                <w:color w:val="000000"/>
                <w:sz w:val="20"/>
              </w:rPr>
              <w:t>Record category</w:t>
            </w:r>
          </w:p>
        </w:tc>
        <w:tc>
          <w:tcPr>
            <w:tcW w:type="dxa" w:w="5613"/>
            <w:vAlign w:val="center"/>
            <w:tcMar>
              <w:top w:w="95" w:type="dxa"/>
              <w:left w:w="95" w:type="dxa"/>
              <w:bottom w:w="95" w:type="dxa"/>
              <w:right w:w="95" w:type="dxa"/>
            </w:tcMar>
            <w:shd w:fill="E7EEF0"/>
          </w:tcPr>
          <w:p>
            <w:pPr>
              <w:spacing w:after="40" w:before="40" w:line="240" w:lineRule="auto"/>
            </w:pPr>
            <w:r>
              <w:rPr>
                <w:b/>
                <w:color w:val="000000"/>
                <w:sz w:val="20"/>
              </w:rPr>
              <w:t>National minimum retention or action</w:t>
            </w:r>
          </w:p>
        </w:tc>
      </w:tr>
      <w:tr>
        <w:trPr>
          <w:cantSplit/>
        </w:trPr>
        <w:tc>
          <w:tcPr>
            <w:tcW w:type="dxa" w:w="4252"/>
            <w:vAlign w:val="center"/>
            <w:tcMar>
              <w:top w:w="95" w:type="dxa"/>
              <w:left w:w="95" w:type="dxa"/>
              <w:bottom w:w="95" w:type="dxa"/>
              <w:right w:w="95" w:type="dxa"/>
            </w:tcMar>
            <w:shd w:fill="FFFFFF"/>
          </w:tcPr>
          <w:p>
            <w:pPr>
              <w:spacing w:after="40" w:before="40" w:line="240" w:lineRule="auto"/>
            </w:pPr>
            <w:r>
              <w:rPr>
                <w:b w:val="0"/>
                <w:color w:val="000000"/>
                <w:sz w:val="20"/>
              </w:rPr>
              <w:t>Incident, injury, trauma and illness records</w:t>
            </w:r>
          </w:p>
        </w:tc>
        <w:tc>
          <w:tcPr>
            <w:tcW w:type="dxa" w:w="5613"/>
            <w:vAlign w:val="center"/>
            <w:tcMar>
              <w:top w:w="95" w:type="dxa"/>
              <w:left w:w="95" w:type="dxa"/>
              <w:bottom w:w="95" w:type="dxa"/>
              <w:right w:w="95" w:type="dxa"/>
            </w:tcMar>
            <w:shd w:fill="FFFFFF"/>
          </w:tcPr>
          <w:p>
            <w:pPr>
              <w:spacing w:after="40" w:before="40" w:line="240" w:lineRule="auto"/>
            </w:pPr>
            <w:r>
              <w:rPr>
                <w:b w:val="0"/>
                <w:color w:val="000000"/>
                <w:sz w:val="20"/>
              </w:rPr>
              <w:t>Until the child reaches 25 years of age.</w:t>
            </w:r>
          </w:p>
        </w:tc>
      </w:tr>
      <w:tr>
        <w:trPr>
          <w:cantSplit/>
        </w:trPr>
        <w:tc>
          <w:tcPr>
            <w:tcW w:type="dxa" w:w="4252"/>
            <w:vAlign w:val="center"/>
            <w:tcMar>
              <w:top w:w="95" w:type="dxa"/>
              <w:left w:w="95" w:type="dxa"/>
              <w:bottom w:w="95" w:type="dxa"/>
              <w:right w:w="95" w:type="dxa"/>
            </w:tcMar>
            <w:shd w:fill="FFFFFF"/>
          </w:tcPr>
          <w:p>
            <w:pPr>
              <w:spacing w:after="40" w:before="40" w:line="240" w:lineRule="auto"/>
            </w:pPr>
            <w:r>
              <w:rPr>
                <w:b w:val="0"/>
                <w:color w:val="000000"/>
                <w:sz w:val="20"/>
              </w:rPr>
              <w:t>Records relating to a child’s death in care or potentially resulting from an incident in care</w:t>
            </w:r>
          </w:p>
        </w:tc>
        <w:tc>
          <w:tcPr>
            <w:tcW w:type="dxa" w:w="5613"/>
            <w:vAlign w:val="center"/>
            <w:tcMar>
              <w:top w:w="95" w:type="dxa"/>
              <w:left w:w="95" w:type="dxa"/>
              <w:bottom w:w="95" w:type="dxa"/>
              <w:right w:w="95" w:type="dxa"/>
            </w:tcMar>
            <w:shd w:fill="FFFFFF"/>
          </w:tcPr>
          <w:p>
            <w:pPr>
              <w:spacing w:after="40" w:before="40" w:line="240" w:lineRule="auto"/>
            </w:pPr>
            <w:r>
              <w:rPr>
                <w:b w:val="0"/>
                <w:color w:val="000000"/>
                <w:sz w:val="20"/>
              </w:rPr>
              <w:t>Until the end of seven years after the death.</w:t>
            </w:r>
          </w:p>
        </w:tc>
      </w:tr>
      <w:tr>
        <w:trPr>
          <w:cantSplit/>
        </w:trPr>
        <w:tc>
          <w:tcPr>
            <w:tcW w:type="dxa" w:w="4252"/>
            <w:vAlign w:val="center"/>
            <w:tcMar>
              <w:top w:w="95" w:type="dxa"/>
              <w:left w:w="95" w:type="dxa"/>
              <w:bottom w:w="95" w:type="dxa"/>
              <w:right w:w="95" w:type="dxa"/>
            </w:tcMar>
            <w:shd w:fill="FFFFFF"/>
          </w:tcPr>
          <w:p>
            <w:pPr>
              <w:spacing w:after="40" w:before="40" w:line="240" w:lineRule="auto"/>
            </w:pPr>
            <w:r>
              <w:rPr>
                <w:b w:val="0"/>
                <w:color w:val="000000"/>
                <w:sz w:val="20"/>
              </w:rPr>
              <w:t>Other prescribed records relating to a child</w:t>
            </w:r>
          </w:p>
        </w:tc>
        <w:tc>
          <w:tcPr>
            <w:tcW w:type="dxa" w:w="5613"/>
            <w:vAlign w:val="center"/>
            <w:tcMar>
              <w:top w:w="95" w:type="dxa"/>
              <w:left w:w="95" w:type="dxa"/>
              <w:bottom w:w="95" w:type="dxa"/>
              <w:right w:w="95" w:type="dxa"/>
            </w:tcMar>
            <w:shd w:fill="FFFFFF"/>
          </w:tcPr>
          <w:p>
            <w:pPr>
              <w:spacing w:after="40" w:before="40" w:line="240" w:lineRule="auto"/>
            </w:pPr>
            <w:r>
              <w:rPr>
                <w:b w:val="0"/>
                <w:color w:val="000000"/>
                <w:sz w:val="20"/>
              </w:rPr>
              <w:t>Until the end of three years after the child’s last attendance.</w:t>
            </w:r>
          </w:p>
        </w:tc>
      </w:tr>
      <w:tr>
        <w:trPr>
          <w:cantSplit/>
        </w:trPr>
        <w:tc>
          <w:tcPr>
            <w:tcW w:type="dxa" w:w="4252"/>
            <w:vAlign w:val="center"/>
            <w:tcMar>
              <w:top w:w="95" w:type="dxa"/>
              <w:left w:w="95" w:type="dxa"/>
              <w:bottom w:w="95" w:type="dxa"/>
              <w:right w:w="95" w:type="dxa"/>
            </w:tcMar>
            <w:shd w:fill="FFFFFF"/>
          </w:tcPr>
          <w:p>
            <w:pPr>
              <w:spacing w:after="40" w:before="40" w:line="240" w:lineRule="auto"/>
            </w:pPr>
            <w:r>
              <w:rPr>
                <w:b w:val="0"/>
                <w:color w:val="000000"/>
                <w:sz w:val="20"/>
              </w:rPr>
              <w:t>Prescribed staff and nominated-supervisor records</w:t>
            </w:r>
          </w:p>
        </w:tc>
        <w:tc>
          <w:tcPr>
            <w:tcW w:type="dxa" w:w="5613"/>
            <w:vAlign w:val="center"/>
            <w:tcMar>
              <w:top w:w="95" w:type="dxa"/>
              <w:left w:w="95" w:type="dxa"/>
              <w:bottom w:w="95" w:type="dxa"/>
              <w:right w:w="95" w:type="dxa"/>
            </w:tcMar>
            <w:shd w:fill="FFFFFF"/>
          </w:tcPr>
          <w:p>
            <w:pPr>
              <w:spacing w:after="40" w:before="40" w:line="240" w:lineRule="auto"/>
            </w:pPr>
            <w:r>
              <w:rPr>
                <w:b w:val="0"/>
                <w:color w:val="000000"/>
                <w:sz w:val="20"/>
              </w:rPr>
              <w:t>Until the end of three years after their last provision of education and care on behalf of the service, as applicable.</w:t>
            </w:r>
          </w:p>
        </w:tc>
      </w:tr>
      <w:tr>
        <w:trPr>
          <w:cantSplit/>
        </w:trPr>
        <w:tc>
          <w:tcPr>
            <w:tcW w:type="dxa" w:w="4252"/>
            <w:vAlign w:val="center"/>
            <w:tcMar>
              <w:top w:w="95" w:type="dxa"/>
              <w:left w:w="95" w:type="dxa"/>
              <w:bottom w:w="95" w:type="dxa"/>
              <w:right w:w="95" w:type="dxa"/>
            </w:tcMar>
            <w:shd w:fill="FFFFFF"/>
          </w:tcPr>
          <w:p>
            <w:pPr>
              <w:spacing w:after="40" w:before="40" w:line="240" w:lineRule="auto"/>
            </w:pPr>
            <w:r>
              <w:rPr>
                <w:b w:val="0"/>
                <w:color w:val="000000"/>
                <w:sz w:val="20"/>
              </w:rPr>
              <w:t>Other prescribed records</w:t>
            </w:r>
          </w:p>
        </w:tc>
        <w:tc>
          <w:tcPr>
            <w:tcW w:type="dxa" w:w="5613"/>
            <w:vAlign w:val="center"/>
            <w:tcMar>
              <w:top w:w="95" w:type="dxa"/>
              <w:left w:w="95" w:type="dxa"/>
              <w:bottom w:w="95" w:type="dxa"/>
              <w:right w:w="95" w:type="dxa"/>
            </w:tcMar>
            <w:shd w:fill="FFFFFF"/>
          </w:tcPr>
          <w:p>
            <w:pPr>
              <w:spacing w:after="40" w:before="40" w:line="240" w:lineRule="auto"/>
            </w:pPr>
            <w:r>
              <w:rPr>
                <w:b w:val="0"/>
                <w:color w:val="000000"/>
                <w:sz w:val="20"/>
              </w:rPr>
              <w:t>Apply the category-specific period in regulation 183; where no special period applies, three years after the record was made.</w:t>
            </w:r>
          </w:p>
        </w:tc>
      </w:tr>
      <w:tr>
        <w:trPr>
          <w:cantSplit/>
        </w:trPr>
        <w:tc>
          <w:tcPr>
            <w:tcW w:type="dxa" w:w="4252"/>
            <w:vAlign w:val="center"/>
            <w:tcMar>
              <w:top w:w="95" w:type="dxa"/>
              <w:left w:w="95" w:type="dxa"/>
              <w:bottom w:w="95" w:type="dxa"/>
              <w:right w:w="95" w:type="dxa"/>
            </w:tcMar>
            <w:shd w:fill="FFFFFF"/>
          </w:tcPr>
          <w:p>
            <w:pPr>
              <w:spacing w:after="40" w:before="40" w:line="240" w:lineRule="auto"/>
            </w:pPr>
            <w:r>
              <w:rPr>
                <w:b w:val="0"/>
                <w:color w:val="000000"/>
                <w:sz w:val="20"/>
              </w:rPr>
              <w:t>Personal-device authorisation records</w:t>
            </w:r>
          </w:p>
        </w:tc>
        <w:tc>
          <w:tcPr>
            <w:tcW w:type="dxa" w:w="5613"/>
            <w:vAlign w:val="center"/>
            <w:tcMar>
              <w:top w:w="95" w:type="dxa"/>
              <w:left w:w="95" w:type="dxa"/>
              <w:bottom w:w="95" w:type="dxa"/>
              <w:right w:w="95" w:type="dxa"/>
            </w:tcMar>
            <w:shd w:fill="FFFFFF"/>
          </w:tcPr>
          <w:p>
            <w:pPr>
              <w:spacing w:after="40" w:before="40" w:line="240" w:lineRule="auto"/>
            </w:pPr>
            <w:r>
              <w:rPr>
                <w:b w:val="0"/>
                <w:color w:val="000000"/>
                <w:sz w:val="20"/>
              </w:rPr>
              <w:t>At least three years under regulations 179A and 179B.</w:t>
            </w:r>
          </w:p>
        </w:tc>
      </w:tr>
    </w:tbl>
    <w:p>
      <w:pPr>
        <w:widowControl/>
        <w:spacing w:after="0"/>
      </w:pPr>
    </w:p>
    <w:p>
      <w:pPr>
        <w:widowControl/>
      </w:pPr>
      <w:r>
        <w:t>These are national minimums, not permission to destroy school records. Apply any longer Department or Public Record Office Victoria retention period and any investigation, litigation or disposal hold, particularly for child abuse allegations. Record authorised disposal. If service approval transfers, obtain required parental consents and meet regulation 184 before transferring children’s records. Protect and retain records if the service closes.</w:t>
      </w:r>
    </w:p>
    <w:p>
      <w:r>
        <w:br w:type="page"/>
      </w:r>
    </w:p>
    <w:p>
      <w:pPr>
        <w:pStyle w:val="Heading1"/>
        <w:widowControl/>
      </w:pPr>
      <w:r>
        <w:t>Workforce register and service information</w:t>
      </w:r>
    </w:p>
    <w:p>
      <w:pPr/>
      <w:r>
        <w:t>The register does not replace the service’s own staff records. Persons with management or control who have no other service role are not entered solely for that status; their mandatory training evidence is retained separately.</w:t>
      </w:r>
    </w:p>
    <w:p>
      <w:pPr>
        <w:widowControl/>
      </w:pPr>
      <w:r>
        <w:t>The approved provider maintains the National Early Childhood Worker Register in NQA ITS for all people required to be recorded, including relevant educators, coordinators, nominated supervisors, non-educator staff, volunteers and placement students. Do not assume every school employee is a worker of the OSHC service.</w:t>
      </w:r>
    </w:p>
    <w:p>
      <w:pPr>
        <w:widowControl/>
        <w:tabs>
          <w:tab w:pos="255" w:val="left"/>
        </w:tabs>
        <w:spacing w:after="80"/>
        <w:ind w:left="255" w:hanging="170"/>
      </w:pPr>
      <w:r>
        <w:t>•</w:t>
        <w:tab/>
        <w:t>The principal authorises a register administrator and an alternate. The coordinator promptly provides commencement, cessation, role and credential changes.</w:t>
      </w:r>
    </w:p>
    <w:p>
      <w:pPr>
        <w:widowControl/>
        <w:tabs>
          <w:tab w:pos="255" w:val="left"/>
        </w:tabs>
        <w:spacing w:after="80"/>
        <w:ind w:left="255" w:hanging="170"/>
      </w:pPr>
      <w:r>
        <w:t>•</w:t>
        <w:tab/>
        <w:t>Enter required information within 14 days of a worker commencing, and update the register within 14 days of a worker leaving or any relevant change to their role, details, qualifications, training or checks.</w:t>
      </w:r>
    </w:p>
    <w:p>
      <w:pPr>
        <w:widowControl/>
        <w:tabs>
          <w:tab w:pos="255" w:val="left"/>
        </w:tabs>
        <w:spacing w:after="80"/>
        <w:ind w:left="255" w:hanging="170"/>
      </w:pPr>
      <w:r>
        <w:t>•</w:t>
        <w:tab/>
        <w:t>Sight and record required evidence, including relevant qualifications, training, clearances or teacher registration, and keep records accurate. Record completion of foundation and advanced training separately within 14 days of sighting the certificate. Limit access to authorised users.</w:t>
      </w:r>
    </w:p>
    <w:p>
      <w:pPr>
        <w:widowControl/>
      </w:pPr>
      <w:r>
        <w:t>Maintain the prescribed service information display, including provider and service approval details, approval conditions, nominated supervisors, responsible person, educational leader, hours, ratings, applicable waivers, complaints contact and VECRA contact details. Keep the National Law, Regulations and required policies accessible at the service.</w:t>
      </w:r>
    </w:p>
    <w:p>
      <w:pPr>
        <w:pStyle w:val="Heading1"/>
        <w:widowControl/>
      </w:pPr>
      <w:r>
        <w:t>Financial management and internal controls</w:t>
      </w:r>
    </w:p>
    <w:p>
      <w:pPr>
        <w:widowControl/>
      </w:pPr>
      <w:r>
        <w:t>School Council approves the OSHC budget and monitors financial performance within the school’s official financial arrangements and the Department’s Finance Manual. Decisions must support safe care, adequate staffing, required training and the service’s continuing ability to meet its obligations.</w:t>
      </w:r>
    </w:p>
    <w:p>
      <w:pPr>
        <w:widowControl/>
        <w:tabs>
          <w:tab w:pos="255" w:val="left"/>
        </w:tabs>
        <w:spacing w:after="80"/>
        <w:ind w:left="255" w:hanging="170"/>
      </w:pPr>
      <w:r>
        <w:t>•</w:t>
        <w:tab/>
        <w:t>Document purchasing and payment delegations, approval limits and authorised signatories. Separate authorisation, payment and reconciliation functions where practicable and apply compensating review where staffing is limited.</w:t>
      </w:r>
    </w:p>
    <w:p>
      <w:pPr>
        <w:widowControl/>
        <w:tabs>
          <w:tab w:pos="255" w:val="left"/>
        </w:tabs>
        <w:spacing w:after="80"/>
        <w:ind w:left="255" w:hanging="170"/>
      </w:pPr>
      <w:r>
        <w:t>•</w:t>
        <w:tab/>
        <w:t>Review attendance, staffing costs, revenue, fee collection, outstanding debts and budget variances at least once each school term. Escalate material financial risks promptly and meet any regulatory notification obligation affecting ongoing operation.</w:t>
      </w:r>
    </w:p>
    <w:p>
      <w:pPr>
        <w:widowControl/>
        <w:tabs>
          <w:tab w:pos="255" w:val="left"/>
        </w:tabs>
        <w:spacing w:after="80"/>
        <w:ind w:left="255" w:hanging="170"/>
      </w:pPr>
      <w:r>
        <w:t>•</w:t>
        <w:tab/>
        <w:t>Maintain accurate accounts, reconciliations, supporting invoices, payroll and statutory records. Meet taxation, employment, funding-agreement and Family Assistance Law requirements, including Child Care Subsidy obligations where applicable.</w:t>
      </w:r>
    </w:p>
    <w:p>
      <w:pPr>
        <w:widowControl/>
        <w:tabs>
          <w:tab w:pos="255" w:val="left"/>
        </w:tabs>
        <w:spacing w:after="80"/>
        <w:ind w:left="255" w:hanging="170"/>
      </w:pPr>
      <w:r>
        <w:t>•</w:t>
        <w:tab/>
        <w:t>Use documented procurement and purchasing processes, protect assets and maintain insurance arrangements. Report suspected fraud or misuse through the applicable school and Department procedures.</w:t>
      </w:r>
    </w:p>
    <w:p>
      <w:pPr>
        <w:pStyle w:val="Heading2"/>
        <w:widowControl/>
      </w:pPr>
      <w:r>
        <w:t>Conflicts of interest</w:t>
      </w:r>
    </w:p>
    <w:p>
      <w:pPr>
        <w:widowControl/>
      </w:pPr>
      <w:r>
        <w:t>School Council members, management and staff must declare actual, potential or perceived conflicts on appointment, annually and when circumstances change. Record declarations in a conflict register. A conflicted person must not improperly influence a decision and must withdraw from discussion and decision-making where required by the applicable School Council rules.</w:t>
      </w:r>
    </w:p>
    <w:p>
      <w:pPr>
        <w:widowControl/>
      </w:pPr>
      <w:r>
        <w:t>Record the conflict, how it was managed, the person’s withdrawal and the decision in the minutes. Refer conflicts involving the principal to the School Council President; refer conflicts involving the President to an unconflicted person with authority under the School Council arrangements. Apply the Department’s conflict-of-interest requirements.</w:t>
      </w:r>
    </w:p>
    <w:p>
      <w:r>
        <w:br w:type="page"/>
      </w:r>
    </w:p>
    <w:p>
      <w:pPr>
        <w:pStyle w:val="Heading1"/>
        <w:widowControl/>
      </w:pPr>
      <w:r>
        <w:t>Service philosophy and quality improvement</w:t>
      </w:r>
    </w:p>
    <w:p>
      <w:pPr>
        <w:widowControl/>
      </w:pPr>
      <w:r>
        <w:t>The service philosophy guides the program, relationships, governance and daily practice. Review it with children, families and staff at least annually as the service’s chosen practice, and earlier when circumstances change. Reflect the principles, practices and outcomes of MTOP V2.0 and the school-age care context.</w:t>
      </w:r>
    </w:p>
    <w:p>
      <w:pPr>
        <w:widowControl/>
      </w:pPr>
      <w:r>
        <w:t>Maintain a Quality Improvement Plan (QIP) for each approved service. It includes an assessment of practice against the NQS and National Regulations, identified improvement areas and the statement of philosophy. Review and revise it at least annually and when directed by the regulator. Keep it available at the service and make it available to families and authorised officers as required.</w:t>
      </w:r>
    </w:p>
    <w:p>
      <w:pPr>
        <w:widowControl/>
      </w:pPr>
      <w:r>
        <w:t>The nominated supervisor and educational leader lead ongoing self-assessment with staff and invite children’s and families’ input. Allocate improvement actions to a responsible person with timeframes and evidence of progress. The principal reports significant risks and progress to School Council. Regular performance feedback and individual learning and development plans support staff capability.</w:t>
      </w:r>
    </w:p>
    <w:p>
      <w:pPr>
        <w:pStyle w:val="Heading2"/>
        <w:widowControl/>
      </w:pPr>
      <w:r>
        <w:t>Complaints and learning from concerns</w:t>
      </w:r>
    </w:p>
    <w:p>
      <w:pPr>
        <w:widowControl/>
      </w:pPr>
      <w:r>
        <w:t>Maintain accessible, child-focused complaints procedures, including responses to allegations that a child is exhibiting sexual behaviours harmful to themselves or another child. Explain how children and families can raise concerns, including concerns about management, and provide an external reporting pathway. Assess immediate safety, protect confidentiality, document action and feedback, and meet reporting duties. Use complaints and incidents to improve practice without discouraging reporting.</w:t>
      </w:r>
    </w:p>
    <w:p>
      <w:pPr>
        <w:pStyle w:val="Heading2"/>
        <w:widowControl/>
      </w:pPr>
      <w:r>
        <w:t>Policy access and implementation</w:t>
      </w:r>
    </w:p>
    <w:p>
      <w:pPr>
        <w:widowControl/>
      </w:pPr>
      <w:r>
        <w:t>Provide required policies and procedures to staff and volunteers through induction and make them readily accessible at the service. Make them available for inspection and provide access to families. Explain changes and check understanding through supervision, discussions and observation. The approved provider takes reasonable steps to ensure policies are followed under regulation 170.</w:t>
      </w:r>
    </w:p>
    <w:p>
      <w:pPr>
        <w:pStyle w:val="Heading2"/>
        <w:widowControl/>
      </w:pPr>
      <w:r>
        <w:t>Changes and review</w:t>
      </w:r>
    </w:p>
    <w:p>
      <w:pPr>
        <w:widowControl/>
      </w:pPr>
      <w:r>
        <w:t>The principal and nominated supervisor monitor this policy and arrange its annual review as the service’s chosen schedule. Review earlier following legislative or regulatory change, a serious incident, significant complaint, change in governance or service operations, or evidence that the policy is ineffective. Consult relevant staff, children and families.</w:t>
      </w:r>
    </w:p>
    <w:p>
      <w:pPr>
        <w:widowControl/>
      </w:pPr>
      <w:r>
        <w:t>Under regulation 172, notify parents at least 14 days before a change that may significantly affect education and care, families’ ability to use the service, or fees or their collection. If waiting would pose a risk to a child’s safety, health or wellbeing, implement the necessary change and notify parents as soon as practicable afterwards.</w:t>
      </w:r>
    </w:p>
    <w:p>
      <w:pPr>
        <w:widowControl/>
      </w:pPr>
      <w:r>
        <w:t>School Council adopts this policy and material revisions. Record approval and commencement in the minutes and policy register. Keep version history, communicate changes, remove superseded copies from active use and retain earlier versions under the applicable records schedule. The October 2027 review date does not defer any current legal obligation.</w:t>
      </w:r>
    </w:p>
    <w:p>
      <w:r>
        <w:br w:type="page"/>
      </w:r>
    </w:p>
    <w:p>
      <w:pPr>
        <w:pStyle w:val="Heading1"/>
        <w:widowControl/>
      </w:pPr>
      <w:r>
        <w:t>National Quality Standard alignment</w:t>
      </w:r>
    </w:p>
    <w:p>
      <w:pPr>
        <w:widowControl/>
      </w:pPr>
      <w:r>
        <w:t>This policy supports Quality Area 7 and the child safety and protection responsibilities in Quality Area 2. The descriptions below summarise the relevant standards and elements; consult the current NQS for the full statutory wording.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02"/>
        <w:gridCol w:w="6463"/>
      </w:tblGrid>
      <w:tr>
        <w:trPr>
          <w:cantSplit/>
          <w:tblHeader/>
        </w:trPr>
        <w:tc>
          <w:tcPr>
            <w:tcW w:type="dxa" w:w="3402"/>
            <w:vAlign w:val="center"/>
            <w:tcMar>
              <w:top w:w="95" w:type="dxa"/>
              <w:left w:w="95" w:type="dxa"/>
              <w:bottom w:w="95" w:type="dxa"/>
              <w:right w:w="95" w:type="dxa"/>
            </w:tcMar>
            <w:shd w:fill="E7EEF0"/>
          </w:tcPr>
          <w:p>
            <w:pPr>
              <w:spacing w:after="40" w:before="40" w:line="240" w:lineRule="auto"/>
            </w:pPr>
            <w:r>
              <w:rPr>
                <w:b/>
                <w:color w:val="000000"/>
                <w:sz w:val="20"/>
              </w:rPr>
              <w:t>Standard or element</w:t>
            </w:r>
          </w:p>
        </w:tc>
        <w:tc>
          <w:tcPr>
            <w:tcW w:type="dxa" w:w="6463"/>
            <w:vAlign w:val="center"/>
            <w:tcMar>
              <w:top w:w="95" w:type="dxa"/>
              <w:left w:w="95" w:type="dxa"/>
              <w:bottom w:w="95" w:type="dxa"/>
              <w:right w:w="95" w:type="dxa"/>
            </w:tcMar>
            <w:shd w:fill="E7EEF0"/>
          </w:tcPr>
          <w:p>
            <w:pPr>
              <w:spacing w:after="40" w:before="40" w:line="240" w:lineRule="auto"/>
            </w:pPr>
            <w:r>
              <w:rPr>
                <w:b/>
                <w:color w:val="000000"/>
                <w:sz w:val="20"/>
              </w:rPr>
              <w:t>Policy alignment</w:t>
            </w:r>
          </w:p>
        </w:tc>
      </w:tr>
      <w:tr>
        <w:trPr>
          <w:cantSplit/>
        </w:trPr>
        <w:tc>
          <w:tcPr>
            <w:tcW w:type="dxa" w:w="3402"/>
            <w:vAlign w:val="center"/>
            <w:tcMar>
              <w:top w:w="95" w:type="dxa"/>
              <w:left w:w="95" w:type="dxa"/>
              <w:bottom w:w="95" w:type="dxa"/>
              <w:right w:w="95" w:type="dxa"/>
            </w:tcMar>
            <w:shd w:fill="FFFFFF"/>
          </w:tcPr>
          <w:p>
            <w:pPr>
              <w:spacing w:after="40" w:before="40" w:line="240" w:lineRule="auto"/>
            </w:pPr>
            <w:r>
              <w:rPr>
                <w:b w:val="0"/>
                <w:color w:val="000000"/>
                <w:sz w:val="20"/>
              </w:rPr>
              <w:t>7.1 Governance</w:t>
            </w:r>
          </w:p>
        </w:tc>
        <w:tc>
          <w:tcPr>
            <w:tcW w:type="dxa" w:w="6463"/>
            <w:vAlign w:val="center"/>
            <w:tcMar>
              <w:top w:w="95" w:type="dxa"/>
              <w:left w:w="95" w:type="dxa"/>
              <w:bottom w:w="95" w:type="dxa"/>
              <w:right w:w="95" w:type="dxa"/>
            </w:tcMar>
            <w:shd w:fill="FFFFFF"/>
          </w:tcPr>
          <w:p>
            <w:pPr>
              <w:spacing w:after="40" w:before="40" w:line="240" w:lineRule="auto"/>
            </w:pPr>
            <w:r>
              <w:rPr>
                <w:b w:val="0"/>
                <w:color w:val="000000"/>
                <w:sz w:val="20"/>
              </w:rPr>
              <w:t>Governance supports a quality service that is child safe.</w:t>
            </w:r>
          </w:p>
        </w:tc>
      </w:tr>
      <w:tr>
        <w:trPr>
          <w:cantSplit/>
        </w:trPr>
        <w:tc>
          <w:tcPr>
            <w:tcW w:type="dxa" w:w="3402"/>
            <w:vAlign w:val="center"/>
            <w:tcMar>
              <w:top w:w="95" w:type="dxa"/>
              <w:left w:w="95" w:type="dxa"/>
              <w:bottom w:w="95" w:type="dxa"/>
              <w:right w:w="95" w:type="dxa"/>
            </w:tcMar>
            <w:shd w:fill="FFFFFF"/>
          </w:tcPr>
          <w:p>
            <w:pPr>
              <w:spacing w:after="40" w:before="40" w:line="240" w:lineRule="auto"/>
            </w:pPr>
            <w:r>
              <w:rPr>
                <w:b w:val="0"/>
                <w:color w:val="000000"/>
                <w:sz w:val="20"/>
              </w:rPr>
              <w:t>7.1.1 Service philosophy and purpose</w:t>
            </w:r>
          </w:p>
        </w:tc>
        <w:tc>
          <w:tcPr>
            <w:tcW w:type="dxa" w:w="6463"/>
            <w:vAlign w:val="center"/>
            <w:tcMar>
              <w:top w:w="95" w:type="dxa"/>
              <w:left w:w="95" w:type="dxa"/>
              <w:bottom w:w="95" w:type="dxa"/>
              <w:right w:w="95" w:type="dxa"/>
            </w:tcMar>
            <w:shd w:fill="FFFFFF"/>
          </w:tcPr>
          <w:p>
            <w:pPr>
              <w:spacing w:after="40" w:before="40" w:line="240" w:lineRule="auto"/>
            </w:pPr>
            <w:r>
              <w:rPr>
                <w:b w:val="0"/>
                <w:color w:val="000000"/>
                <w:sz w:val="20"/>
              </w:rPr>
              <w:t>The service philosophy guides all aspects of operations.</w:t>
            </w:r>
          </w:p>
        </w:tc>
      </w:tr>
      <w:tr>
        <w:trPr>
          <w:cantSplit/>
        </w:trPr>
        <w:tc>
          <w:tcPr>
            <w:tcW w:type="dxa" w:w="3402"/>
            <w:vAlign w:val="center"/>
            <w:tcMar>
              <w:top w:w="95" w:type="dxa"/>
              <w:left w:w="95" w:type="dxa"/>
              <w:bottom w:w="95" w:type="dxa"/>
              <w:right w:w="95" w:type="dxa"/>
            </w:tcMar>
            <w:shd w:fill="FFFFFF"/>
          </w:tcPr>
          <w:p>
            <w:pPr>
              <w:spacing w:after="40" w:before="40" w:line="240" w:lineRule="auto"/>
            </w:pPr>
            <w:r>
              <w:rPr>
                <w:b w:val="0"/>
                <w:color w:val="000000"/>
                <w:sz w:val="20"/>
              </w:rPr>
              <w:t>7.1.2 Management systems</w:t>
            </w:r>
          </w:p>
        </w:tc>
        <w:tc>
          <w:tcPr>
            <w:tcW w:type="dxa" w:w="6463"/>
            <w:vAlign w:val="center"/>
            <w:tcMar>
              <w:top w:w="95" w:type="dxa"/>
              <w:left w:w="95" w:type="dxa"/>
              <w:bottom w:w="95" w:type="dxa"/>
              <w:right w:w="95" w:type="dxa"/>
            </w:tcMar>
            <w:shd w:fill="FFFFFF"/>
          </w:tcPr>
          <w:p>
            <w:pPr>
              <w:spacing w:after="40" w:before="40" w:line="240" w:lineRule="auto"/>
            </w:pPr>
            <w:r>
              <w:rPr>
                <w:b w:val="0"/>
                <w:color w:val="000000"/>
                <w:sz w:val="20"/>
              </w:rPr>
              <w:t>Risk controls and management systems support effective operation of a quality service that is child safe.</w:t>
            </w:r>
          </w:p>
        </w:tc>
      </w:tr>
      <w:tr>
        <w:trPr>
          <w:cantSplit/>
        </w:trPr>
        <w:tc>
          <w:tcPr>
            <w:tcW w:type="dxa" w:w="3402"/>
            <w:vAlign w:val="center"/>
            <w:tcMar>
              <w:top w:w="95" w:type="dxa"/>
              <w:left w:w="95" w:type="dxa"/>
              <w:bottom w:w="95" w:type="dxa"/>
              <w:right w:w="95" w:type="dxa"/>
            </w:tcMar>
            <w:shd w:fill="FFFFFF"/>
          </w:tcPr>
          <w:p>
            <w:pPr>
              <w:spacing w:after="40" w:before="40" w:line="240" w:lineRule="auto"/>
            </w:pPr>
            <w:r>
              <w:rPr>
                <w:b w:val="0"/>
                <w:color w:val="000000"/>
                <w:sz w:val="20"/>
              </w:rPr>
              <w:t>7.1.3 Roles and responsibilities</w:t>
            </w:r>
          </w:p>
        </w:tc>
        <w:tc>
          <w:tcPr>
            <w:tcW w:type="dxa" w:w="6463"/>
            <w:vAlign w:val="center"/>
            <w:tcMar>
              <w:top w:w="95" w:type="dxa"/>
              <w:left w:w="95" w:type="dxa"/>
              <w:bottom w:w="95" w:type="dxa"/>
              <w:right w:w="95" w:type="dxa"/>
            </w:tcMar>
            <w:shd w:fill="FFFFFF"/>
          </w:tcPr>
          <w:p>
            <w:pPr>
              <w:spacing w:after="40" w:before="40" w:line="240" w:lineRule="auto"/>
            </w:pPr>
            <w:r>
              <w:rPr>
                <w:b w:val="0"/>
                <w:color w:val="000000"/>
                <w:sz w:val="20"/>
              </w:rPr>
              <w:t>Clearly defined and understood responsibilities support effective decisions and operation.</w:t>
            </w:r>
          </w:p>
        </w:tc>
      </w:tr>
      <w:tr>
        <w:trPr>
          <w:cantSplit/>
        </w:trPr>
        <w:tc>
          <w:tcPr>
            <w:tcW w:type="dxa" w:w="3402"/>
            <w:vAlign w:val="center"/>
            <w:tcMar>
              <w:top w:w="95" w:type="dxa"/>
              <w:left w:w="95" w:type="dxa"/>
              <w:bottom w:w="95" w:type="dxa"/>
              <w:right w:w="95" w:type="dxa"/>
            </w:tcMar>
            <w:shd w:fill="FFFFFF"/>
          </w:tcPr>
          <w:p>
            <w:pPr>
              <w:spacing w:after="40" w:before="40" w:line="240" w:lineRule="auto"/>
            </w:pPr>
            <w:r>
              <w:rPr>
                <w:b w:val="0"/>
                <w:color w:val="000000"/>
                <w:sz w:val="20"/>
              </w:rPr>
              <w:t>7.2 Leadership</w:t>
            </w:r>
          </w:p>
        </w:tc>
        <w:tc>
          <w:tcPr>
            <w:tcW w:type="dxa" w:w="6463"/>
            <w:vAlign w:val="center"/>
            <w:tcMar>
              <w:top w:w="95" w:type="dxa"/>
              <w:left w:w="95" w:type="dxa"/>
              <w:bottom w:w="95" w:type="dxa"/>
              <w:right w:w="95" w:type="dxa"/>
            </w:tcMar>
            <w:shd w:fill="FFFFFF"/>
          </w:tcPr>
          <w:p>
            <w:pPr>
              <w:spacing w:after="40" w:before="40" w:line="240" w:lineRule="auto"/>
            </w:pPr>
            <w:r>
              <w:rPr>
                <w:b w:val="0"/>
                <w:color w:val="000000"/>
                <w:sz w:val="20"/>
              </w:rPr>
              <w:t>Leadership supports organisational culture and professional learning.</w:t>
            </w:r>
          </w:p>
        </w:tc>
      </w:tr>
      <w:tr>
        <w:trPr>
          <w:cantSplit/>
        </w:trPr>
        <w:tc>
          <w:tcPr>
            <w:tcW w:type="dxa" w:w="3402"/>
            <w:vAlign w:val="center"/>
            <w:tcMar>
              <w:top w:w="95" w:type="dxa"/>
              <w:left w:w="95" w:type="dxa"/>
              <w:bottom w:w="95" w:type="dxa"/>
              <w:right w:w="95" w:type="dxa"/>
            </w:tcMar>
            <w:shd w:fill="FFFFFF"/>
          </w:tcPr>
          <w:p>
            <w:pPr>
              <w:spacing w:after="40" w:before="40" w:line="240" w:lineRule="auto"/>
            </w:pPr>
            <w:r>
              <w:rPr>
                <w:b w:val="0"/>
                <w:color w:val="000000"/>
                <w:sz w:val="20"/>
              </w:rPr>
              <w:t>7.2.1 Continuous improvement</w:t>
            </w:r>
          </w:p>
        </w:tc>
        <w:tc>
          <w:tcPr>
            <w:tcW w:type="dxa" w:w="6463"/>
            <w:vAlign w:val="center"/>
            <w:tcMar>
              <w:top w:w="95" w:type="dxa"/>
              <w:left w:w="95" w:type="dxa"/>
              <w:bottom w:w="95" w:type="dxa"/>
              <w:right w:w="95" w:type="dxa"/>
            </w:tcMar>
            <w:shd w:fill="FFFFFF"/>
          </w:tcPr>
          <w:p>
            <w:pPr>
              <w:spacing w:after="40" w:before="40" w:line="240" w:lineRule="auto"/>
            </w:pPr>
            <w:r>
              <w:rPr>
                <w:b w:val="0"/>
                <w:color w:val="000000"/>
                <w:sz w:val="20"/>
              </w:rPr>
              <w:t>Self-assessment and quality improvement operate as an ongoing process.</w:t>
            </w:r>
          </w:p>
        </w:tc>
      </w:tr>
      <w:tr>
        <w:trPr>
          <w:cantSplit/>
        </w:trPr>
        <w:tc>
          <w:tcPr>
            <w:tcW w:type="dxa" w:w="3402"/>
            <w:vAlign w:val="center"/>
            <w:tcMar>
              <w:top w:w="95" w:type="dxa"/>
              <w:left w:w="95" w:type="dxa"/>
              <w:bottom w:w="95" w:type="dxa"/>
              <w:right w:w="95" w:type="dxa"/>
            </w:tcMar>
            <w:shd w:fill="FFFFFF"/>
          </w:tcPr>
          <w:p>
            <w:pPr>
              <w:spacing w:after="40" w:before="40" w:line="240" w:lineRule="auto"/>
            </w:pPr>
            <w:r>
              <w:rPr>
                <w:b w:val="0"/>
                <w:color w:val="000000"/>
                <w:sz w:val="20"/>
              </w:rPr>
              <w:t>7.2.2 Educational leadership</w:t>
            </w:r>
          </w:p>
        </w:tc>
        <w:tc>
          <w:tcPr>
            <w:tcW w:type="dxa" w:w="6463"/>
            <w:vAlign w:val="center"/>
            <w:tcMar>
              <w:top w:w="95" w:type="dxa"/>
              <w:left w:w="95" w:type="dxa"/>
              <w:bottom w:w="95" w:type="dxa"/>
              <w:right w:w="95" w:type="dxa"/>
            </w:tcMar>
            <w:shd w:fill="FFFFFF"/>
          </w:tcPr>
          <w:p>
            <w:pPr>
              <w:spacing w:after="40" w:before="40" w:line="240" w:lineRule="auto"/>
            </w:pPr>
            <w:r>
              <w:rPr>
                <w:b w:val="0"/>
                <w:color w:val="000000"/>
                <w:sz w:val="20"/>
              </w:rPr>
              <w:t>The educational leader is supported to lead the program and planning cycle.</w:t>
            </w:r>
          </w:p>
        </w:tc>
      </w:tr>
      <w:tr>
        <w:trPr>
          <w:cantSplit/>
        </w:trPr>
        <w:tc>
          <w:tcPr>
            <w:tcW w:type="dxa" w:w="3402"/>
            <w:vAlign w:val="center"/>
            <w:tcMar>
              <w:top w:w="95" w:type="dxa"/>
              <w:left w:w="95" w:type="dxa"/>
              <w:bottom w:w="95" w:type="dxa"/>
              <w:right w:w="95" w:type="dxa"/>
            </w:tcMar>
            <w:shd w:fill="FFFFFF"/>
          </w:tcPr>
          <w:p>
            <w:pPr>
              <w:spacing w:after="40" w:before="40" w:line="240" w:lineRule="auto"/>
            </w:pPr>
            <w:r>
              <w:rPr>
                <w:b w:val="0"/>
                <w:color w:val="000000"/>
                <w:sz w:val="20"/>
              </w:rPr>
              <w:t>7.2.3 Development of professionals</w:t>
            </w:r>
          </w:p>
        </w:tc>
        <w:tc>
          <w:tcPr>
            <w:tcW w:type="dxa" w:w="6463"/>
            <w:vAlign w:val="center"/>
            <w:tcMar>
              <w:top w:w="95" w:type="dxa"/>
              <w:left w:w="95" w:type="dxa"/>
              <w:bottom w:w="95" w:type="dxa"/>
              <w:right w:w="95" w:type="dxa"/>
            </w:tcMar>
            <w:shd w:fill="FFFFFF"/>
          </w:tcPr>
          <w:p>
            <w:pPr>
              <w:spacing w:after="40" w:before="40" w:line="240" w:lineRule="auto"/>
            </w:pPr>
            <w:r>
              <w:rPr>
                <w:b w:val="0"/>
                <w:color w:val="000000"/>
                <w:sz w:val="20"/>
              </w:rPr>
              <w:t>Regular performance evaluation and individual development planning support staff learning.</w:t>
            </w:r>
          </w:p>
        </w:tc>
      </w:tr>
      <w:tr>
        <w:trPr>
          <w:cantSplit/>
        </w:trPr>
        <w:tc>
          <w:tcPr>
            <w:tcW w:type="dxa" w:w="3402"/>
            <w:vAlign w:val="center"/>
            <w:tcMar>
              <w:top w:w="95" w:type="dxa"/>
              <w:left w:w="95" w:type="dxa"/>
              <w:bottom w:w="95" w:type="dxa"/>
              <w:right w:w="95" w:type="dxa"/>
            </w:tcMar>
            <w:shd w:fill="FFFFFF"/>
          </w:tcPr>
          <w:p>
            <w:pPr>
              <w:spacing w:after="40" w:before="40" w:line="240" w:lineRule="auto"/>
            </w:pPr>
            <w:r>
              <w:rPr>
                <w:b w:val="0"/>
                <w:color w:val="000000"/>
                <w:sz w:val="20"/>
              </w:rPr>
              <w:t>2.2.3 Child safety and protection</w:t>
            </w:r>
          </w:p>
        </w:tc>
        <w:tc>
          <w:tcPr>
            <w:tcW w:type="dxa" w:w="6463"/>
            <w:vAlign w:val="center"/>
            <w:tcMar>
              <w:top w:w="95" w:type="dxa"/>
              <w:left w:w="95" w:type="dxa"/>
              <w:bottom w:w="95" w:type="dxa"/>
              <w:right w:w="95" w:type="dxa"/>
            </w:tcMar>
            <w:shd w:fill="FFFFFF"/>
          </w:tcPr>
          <w:p>
            <w:pPr>
              <w:spacing w:after="40" w:before="40" w:line="240" w:lineRule="auto"/>
            </w:pPr>
            <w:r>
              <w:rPr>
                <w:b w:val="0"/>
                <w:color w:val="000000"/>
                <w:sz w:val="20"/>
              </w:rPr>
              <w:t>Management, educators and staff understand their child safety responsibilities and identify and respond to children at risk.</w:t>
            </w:r>
          </w:p>
        </w:tc>
      </w:tr>
    </w:tbl>
    <w:p>
      <w:pPr>
        <w:widowControl/>
        <w:spacing w:after="0"/>
      </w:pPr>
    </w:p>
    <w:p>
      <w:pPr>
        <w:pStyle w:val="Heading1"/>
        <w:widowControl/>
      </w:pPr>
      <w:r>
        <w:t>Legislative framework</w:t>
      </w:r>
    </w:p>
    <w:p>
      <w:pPr>
        <w:widowControl/>
      </w:pPr>
      <w:r>
        <w:t>Apply the current legislation as it operates in Victoria, including subsequent amendments. Key provisions relevant to this policy include:</w:t>
      </w:r>
    </w:p>
    <w:p>
      <w:pPr>
        <w:widowControl/>
        <w:tabs>
          <w:tab w:pos="255" w:val="left"/>
        </w:tabs>
        <w:spacing w:after="80"/>
        <w:ind w:left="255" w:hanging="170"/>
      </w:pPr>
      <w:r>
        <w:t>•</w:t>
        <w:tab/>
        <w:t>Education and Care Services National Law Act 2010 (Vic) and the National Law, including section 2A; sections 162, 162A and 162B; section 166A; sections 172 to 175J; section 188; and the National Early Childhood Worker Register provisions. Apply additional Victorian provisions, including section 174B where relevant.</w:t>
      </w:r>
    </w:p>
    <w:p>
      <w:pPr>
        <w:widowControl/>
        <w:tabs>
          <w:tab w:pos="255" w:val="left"/>
        </w:tabs>
        <w:spacing w:after="80"/>
        <w:ind w:left="255" w:hanging="170"/>
      </w:pPr>
      <w:r>
        <w:t>•</w:t>
        <w:tab/>
        <w:t>Education and Care Services National Regulations, including regulations 29, 31, 55, 56, 84, 117B, 117C, 118, 128B, 128D, 128E, 145 to 151, 154A, 154B, 157 to 162, 167 to 177, 179A, 179B and 180 to 185, as applicable to the service.</w:t>
      </w:r>
    </w:p>
    <w:p>
      <w:pPr>
        <w:widowControl/>
        <w:tabs>
          <w:tab w:pos="255" w:val="left"/>
        </w:tabs>
        <w:spacing w:after="80"/>
        <w:ind w:left="255" w:hanging="170"/>
      </w:pPr>
      <w:r>
        <w:t>•</w:t>
        <w:tab/>
        <w:t>Education and Training Reform Act 2006 (Vic); Child Wellbeing and Safety Act 2005 (Vic); Children, Youth and Families Act 2005 (Vic); Crimes Act 1958 (Vic); and Worker Screening Act 2020 (Vic).</w:t>
      </w:r>
    </w:p>
    <w:p>
      <w:pPr>
        <w:widowControl/>
        <w:tabs>
          <w:tab w:pos="255" w:val="left"/>
        </w:tabs>
        <w:spacing w:after="80"/>
        <w:ind w:left="255" w:hanging="170"/>
      </w:pPr>
      <w:r>
        <w:t>•</w:t>
        <w:tab/>
        <w:t>Occupational Health and Safety Act 2004 (Vic); Privacy and Data Protection Act 2014 (Vic); Health Records Act 2001 (Vic); and Public Records Act 1973 (Vic).</w:t>
      </w:r>
    </w:p>
    <w:p>
      <w:pPr>
        <w:widowControl/>
        <w:tabs>
          <w:tab w:pos="255" w:val="left"/>
        </w:tabs>
        <w:spacing w:after="80"/>
        <w:ind w:left="255" w:hanging="170"/>
      </w:pPr>
      <w:r>
        <w:t>•</w:t>
        <w:tab/>
        <w:t>Applicable Family Assistance Law, taxation, employment and funding requirements, and Department of Education policies for Victorian government schools and school councils.</w:t>
      </w:r>
    </w:p>
    <w:p>
      <w:r>
        <w:br w:type="page"/>
      </w:r>
    </w:p>
    <w:p>
      <w:pPr>
        <w:pStyle w:val="Heading1"/>
        <w:widowControl/>
      </w:pPr>
      <w:r>
        <w:t>Related policies and supporting procedures</w:t>
      </w:r>
    </w:p>
    <w:p>
      <w:pPr>
        <w:widowControl/>
      </w:pPr>
      <w:r>
        <w:t>Read this policy with the service policies and procedures covering the following subjects. The policy register identifies each document’s current title, version and location so staff can access it readily.</w:t>
      </w:r>
    </w:p>
    <w:p>
      <w:pPr>
        <w:widowControl/>
        <w:tabs>
          <w:tab w:pos="255" w:val="left"/>
        </w:tabs>
        <w:spacing w:after="80"/>
        <w:ind w:left="255" w:hanging="170"/>
      </w:pPr>
      <w:r>
        <w:t>•</w:t>
        <w:tab/>
        <w:t>Child safety and wellbeing, code of conduct, mandatory reporting, reportable conduct and responses to inappropriate conduct.</w:t>
      </w:r>
    </w:p>
    <w:p>
      <w:pPr>
        <w:widowControl/>
        <w:tabs>
          <w:tab w:pos="255" w:val="left"/>
        </w:tabs>
        <w:spacing w:after="80"/>
        <w:ind w:left="255" w:hanging="170"/>
      </w:pPr>
      <w:r>
        <w:t>•</w:t>
        <w:tab/>
        <w:t>Complaints and feedback, including child-focused complaints and harmful sexual behaviours.</w:t>
      </w:r>
    </w:p>
    <w:p>
      <w:pPr>
        <w:widowControl/>
        <w:tabs>
          <w:tab w:pos="255" w:val="left"/>
        </w:tabs>
        <w:spacing w:after="80"/>
        <w:ind w:left="255" w:hanging="170"/>
      </w:pPr>
      <w:r>
        <w:t>•</w:t>
        <w:tab/>
        <w:t>Staffing, recruitment, responsible-person arrangements, volunteers, placement students, qualifications and training.</w:t>
      </w:r>
    </w:p>
    <w:p>
      <w:pPr>
        <w:widowControl/>
        <w:tabs>
          <w:tab w:pos="255" w:val="left"/>
        </w:tabs>
        <w:spacing w:after="80"/>
        <w:ind w:left="255" w:hanging="170"/>
      </w:pPr>
      <w:r>
        <w:t>•</w:t>
        <w:tab/>
        <w:t>Safe use of digital technologies and online environments, children’s images, CCTV and privacy.</w:t>
      </w:r>
    </w:p>
    <w:p>
      <w:pPr>
        <w:widowControl/>
        <w:tabs>
          <w:tab w:pos="255" w:val="left"/>
        </w:tabs>
        <w:spacing w:after="80"/>
        <w:ind w:left="255" w:hanging="170"/>
      </w:pPr>
      <w:r>
        <w:t>•</w:t>
        <w:tab/>
        <w:t>Records, confidentiality, access, retention, transfer, disposal and information sharing.</w:t>
      </w:r>
    </w:p>
    <w:p>
      <w:pPr>
        <w:widowControl/>
        <w:tabs>
          <w:tab w:pos="255" w:val="left"/>
        </w:tabs>
        <w:spacing w:after="80"/>
        <w:ind w:left="255" w:hanging="170"/>
      </w:pPr>
      <w:r>
        <w:t>•</w:t>
        <w:tab/>
        <w:t>Risk management, supervision, safe arrival and collection, excursions, transportation where relevant, medical conditions and emergencies.</w:t>
      </w:r>
    </w:p>
    <w:p>
      <w:pPr>
        <w:widowControl/>
        <w:tabs>
          <w:tab w:pos="255" w:val="left"/>
        </w:tabs>
        <w:spacing w:after="80"/>
        <w:ind w:left="255" w:hanging="170"/>
      </w:pPr>
      <w:r>
        <w:t>•</w:t>
        <w:tab/>
        <w:t>Finance, procurement, fees, Child Care Subsidy administration, conflicts of interest, service philosophy and the QIP.</w:t>
      </w:r>
    </w:p>
    <w:p>
      <w:pPr>
        <w:pStyle w:val="Heading1"/>
        <w:widowControl/>
      </w:pPr>
      <w:r>
        <w:t>Current guidance and resources</w:t>
      </w:r>
    </w:p>
    <w:p>
      <w:pPr>
        <w:widowControl/>
      </w:pPr>
      <w:r>
        <w:t>Sources checked for this revision on 26 October 2026. Use current online guidance when applying the policy; legislative requirements take precedence over summaries.</w:t>
      </w:r>
    </w:p>
    <w:p>
      <w:pPr>
        <w:widowControl/>
        <w:spacing w:after="100"/>
      </w:pPr>
      <w:hyperlink r:id="rId12">
        <w:r>
          <w:rPr>
            <w:color w:val="165568"/>
          </w:rPr>
          <w:t>ACECQA Governance and management policy and procedure guidelines April 2026</w:t>
        </w:r>
      </w:hyperlink>
    </w:p>
    <w:p>
      <w:pPr>
        <w:widowControl/>
        <w:spacing w:after="100"/>
      </w:pPr>
      <w:hyperlink r:id="rId13">
        <w:r>
          <w:rPr>
            <w:color w:val="165568"/>
          </w:rPr>
          <w:t>ACECQA Guide to the NQF Quality Area 7 operational requirements</w:t>
        </w:r>
      </w:hyperlink>
    </w:p>
    <w:p>
      <w:pPr>
        <w:widowControl/>
        <w:spacing w:after="100"/>
      </w:pPr>
      <w:hyperlink r:id="rId14">
        <w:r>
          <w:rPr>
            <w:color w:val="165568"/>
          </w:rPr>
          <w:t>ACECQA Current National Quality Standard Quality Area 7</w:t>
        </w:r>
      </w:hyperlink>
    </w:p>
    <w:p>
      <w:pPr>
        <w:widowControl/>
        <w:spacing w:after="100"/>
      </w:pPr>
      <w:hyperlink r:id="rId15">
        <w:r>
          <w:rPr>
            <w:color w:val="165568"/>
          </w:rPr>
          <w:t>ACECQA Child safety and child protection training</w:t>
        </w:r>
      </w:hyperlink>
    </w:p>
    <w:p>
      <w:pPr>
        <w:widowControl/>
        <w:spacing w:after="100"/>
      </w:pPr>
      <w:hyperlink r:id="rId16">
        <w:r>
          <w:rPr>
            <w:color w:val="165568"/>
          </w:rPr>
          <w:t>ACECQA Notification types and timeframes</w:t>
        </w:r>
      </w:hyperlink>
    </w:p>
    <w:p>
      <w:pPr>
        <w:widowControl/>
        <w:spacing w:after="100"/>
      </w:pPr>
      <w:hyperlink r:id="rId17">
        <w:r>
          <w:rPr>
            <w:color w:val="165568"/>
          </w:rPr>
          <w:t>ACECQA Digital devices in centre-based education and care services</w:t>
        </w:r>
      </w:hyperlink>
    </w:p>
    <w:p>
      <w:pPr>
        <w:widowControl/>
        <w:spacing w:after="100"/>
      </w:pPr>
      <w:hyperlink r:id="rId18">
        <w:r>
          <w:rPr>
            <w:color w:val="165568"/>
          </w:rPr>
          <w:t>ACECQA National Early Childhood Worker Register</w:t>
        </w:r>
      </w:hyperlink>
    </w:p>
    <w:p>
      <w:pPr>
        <w:widowControl/>
        <w:spacing w:after="100"/>
      </w:pPr>
      <w:hyperlink r:id="rId19">
        <w:r>
          <w:rPr>
            <w:color w:val="165568"/>
          </w:rPr>
          <w:t>ACECQA Approved learning frameworks including MTOP V2.0</w:t>
        </w:r>
      </w:hyperlink>
    </w:p>
    <w:p>
      <w:pPr>
        <w:widowControl/>
        <w:spacing w:after="100"/>
      </w:pPr>
      <w:hyperlink r:id="rId20">
        <w:r>
          <w:rPr>
            <w:color w:val="165568"/>
          </w:rPr>
          <w:t>Victorian Early Childhood Regulatory Authority</w:t>
        </w:r>
      </w:hyperlink>
    </w:p>
    <w:p>
      <w:pPr>
        <w:widowControl/>
        <w:spacing w:after="100"/>
      </w:pPr>
      <w:hyperlink r:id="rId21">
        <w:r>
          <w:rPr>
            <w:color w:val="165568"/>
          </w:rPr>
          <w:t>Victorian Government Obligations to protect children</w:t>
        </w:r>
      </w:hyperlink>
    </w:p>
    <w:p>
      <w:pPr>
        <w:widowControl/>
        <w:spacing w:after="100"/>
      </w:pPr>
      <w:hyperlink r:id="rId22">
        <w:r>
          <w:rPr>
            <w:color w:val="165568"/>
          </w:rPr>
          <w:t>Department of Education OSHC policy and guidance</w:t>
        </w:r>
      </w:hyperlink>
    </w:p>
    <w:p>
      <w:pPr>
        <w:widowControl/>
        <w:spacing w:after="100"/>
      </w:pPr>
      <w:hyperlink r:id="rId23">
        <w:r>
          <w:rPr>
            <w:color w:val="165568"/>
          </w:rPr>
          <w:t>Early Childhood Australia Code of Ethics</w:t>
        </w:r>
      </w:hyperlink>
    </w:p>
    <w:p>
      <w:pPr>
        <w:pStyle w:val="Heading1"/>
        <w:widowControl/>
      </w:pPr>
      <w:r>
        <w:t>Revision record</w:t>
      </w:r>
    </w:p>
    <w:p>
      <w:pPr>
        <w:widowControl/>
      </w:pPr>
      <w:r>
        <w:t>Previous version: Updated 4 February 2025, with review scheduled for February 2028.</w:t>
        <w:br/>
        <w:t>This revision: 26 October 2026. Updated for 2025 and 2026 child safety reforms, clarified school-operated governance, corrected confidentiality wording and records procedures, and refreshed references and review arrangements.</w:t>
        <w:br/>
        <w:t>Adoption and commencement: To be entered in the School Council minutes and policy register when adopted.</w:t>
      </w:r>
    </w:p>
    <w:sectPr w:rsidR="00FC693F" w:rsidRPr="0006063C" w:rsidSect="00034616">
      <w:headerReference w:type="default" r:id="rId9"/>
      <w:footerReference w:type="default" r:id="rId10"/>
      <w:pgSz w:w="11906" w:h="16838"/>
      <w:pgMar w:top="964" w:right="1020" w:bottom="964" w:left="102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Governance and Management Policy  |  Revised 26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alibri" w:hAnsi="Calibri"/>
        <w:color w:val="000000"/>
        <w:sz w:val="16"/>
      </w:rPr>
      <w:t>LOWER PLENTY PRIMARY SCHOOL  |  OUTSIDE SCHOOL HOURS CARE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40" w:after="120" w:line="252" w:lineRule="auto"/>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pageBreakBefore w:val="0"/>
      <w:spacing w:before="240" w:after="120" w:line="252" w:lineRule="auto"/>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20" w:line="252" w:lineRule="auto" w:before="0"/>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52"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2" w:lineRule="auto"/>
      <w:ind w:left="255" w:hanging="113"/>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2"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acecqa.gov.au/media/32256" TargetMode="External"/><Relationship Id="rId13" Type="http://schemas.openxmlformats.org/officeDocument/2006/relationships/hyperlink" Target="https://www.acecqa.gov.au/quality-area-7-governance-and-leadership-1" TargetMode="External"/><Relationship Id="rId14" Type="http://schemas.openxmlformats.org/officeDocument/2006/relationships/hyperlink" Target="https://www.acecqa.gov.au/nqf/national-quality-standard/quality-area-7-governance-and-leadership" TargetMode="External"/><Relationship Id="rId15" Type="http://schemas.openxmlformats.org/officeDocument/2006/relationships/hyperlink" Target="https://www.acecqa.gov.au/national-quality-framework/child-safety/child-safety-and-child-protection-training" TargetMode="External"/><Relationship Id="rId16" Type="http://schemas.openxmlformats.org/officeDocument/2006/relationships/hyperlink" Target="https://www.acecqa.gov.au/resources/applications/notification-types-and-timeframes" TargetMode="External"/><Relationship Id="rId17" Type="http://schemas.openxmlformats.org/officeDocument/2006/relationships/hyperlink" Target="https://www.acecqa.gov.au/information-sheet-using-digital-devices-centre-based-education-and-care-services" TargetMode="External"/><Relationship Id="rId18" Type="http://schemas.openxmlformats.org/officeDocument/2006/relationships/hyperlink" Target="https://www.acecqa.gov.au/latest-news/national-early-childhood-worker-register-launched-27-february-2026" TargetMode="External"/><Relationship Id="rId19" Type="http://schemas.openxmlformats.org/officeDocument/2006/relationships/hyperlink" Target="https://www.acecqa.gov.au/nqf/national-law-regulations/approved-learning-frameworks" TargetMode="External"/><Relationship Id="rId20" Type="http://schemas.openxmlformats.org/officeDocument/2006/relationships/hyperlink" Target="https://www.vecra.vic.gov.au/" TargetMode="External"/><Relationship Id="rId21" Type="http://schemas.openxmlformats.org/officeDocument/2006/relationships/hyperlink" Target="https://www.vic.gov.au/understand-obligations-protect-children" TargetMode="External"/><Relationship Id="rId22" Type="http://schemas.openxmlformats.org/officeDocument/2006/relationships/hyperlink" Target="https://www2.education.vic.gov.au/pal/outside-school-hours-care-decision-making-regarding-provision-oshc" TargetMode="External"/><Relationship Id="rId23" Type="http://schemas.openxmlformats.org/officeDocument/2006/relationships/hyperlink" Target="https://www.earlychildhoodaustralia.org.au/our-publications/eca-code-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Lower Plenty Primary School OSHC Governance and Management Policy</dc:title>
  <dc:subject>Revised governance policy for School Council adoption</dc:subject>
  <dc:creator>Lower Plenty Primary School</dc:creator>
  <cp:keywords>OSHC, governance, child safety, ACECQA, School Council</cp:keywords>
  <dc:description/>
  <cp:lastModifiedBy/>
  <cp:revision>1</cp:revision>
  <dcterms:created xsi:type="dcterms:W3CDTF">2013-12-23T23:15:00Z</dcterms:created>
  <dcterms:modified xsi:type="dcterms:W3CDTF">2013-12-23T23:15:00Z</dcterms:modified>
  <cp:category/>
</cp:coreProperties>
</file>